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B22DE3" w14:textId="77777777" w:rsidR="00F54224" w:rsidRDefault="00F54224" w:rsidP="00681621">
      <w:pPr>
        <w:jc w:val="center"/>
        <w:rPr>
          <w:b/>
          <w:bCs/>
          <w:smallCaps/>
        </w:rPr>
      </w:pPr>
      <w:r w:rsidRPr="007779DF">
        <w:rPr>
          <w:b/>
          <w:bCs/>
          <w:smallCaps/>
        </w:rPr>
        <w:t>N</w:t>
      </w:r>
      <w:r>
        <w:rPr>
          <w:b/>
          <w:bCs/>
          <w:smallCaps/>
        </w:rPr>
        <w:t>orth</w:t>
      </w:r>
      <w:r w:rsidRPr="007779DF">
        <w:rPr>
          <w:b/>
          <w:bCs/>
          <w:smallCaps/>
        </w:rPr>
        <w:t xml:space="preserve"> D</w:t>
      </w:r>
      <w:r>
        <w:rPr>
          <w:b/>
          <w:bCs/>
          <w:smallCaps/>
        </w:rPr>
        <w:t>akota</w:t>
      </w:r>
    </w:p>
    <w:p w14:paraId="2E97398E" w14:textId="77777777" w:rsidR="00F54224" w:rsidRPr="007779DF" w:rsidRDefault="00F54224" w:rsidP="00681621">
      <w:pPr>
        <w:jc w:val="center"/>
        <w:rPr>
          <w:b/>
          <w:bCs/>
          <w:smallCaps/>
        </w:rPr>
      </w:pPr>
      <w:r>
        <w:rPr>
          <w:b/>
          <w:bCs/>
          <w:smallCaps/>
        </w:rPr>
        <w:t>State Board of Higher Education</w:t>
      </w:r>
    </w:p>
    <w:p w14:paraId="5F1E55A5" w14:textId="7A87B920" w:rsidR="00326F17" w:rsidRPr="004C7D11" w:rsidRDefault="00F54224" w:rsidP="00681621">
      <w:pPr>
        <w:jc w:val="center"/>
      </w:pPr>
      <w:r>
        <w:rPr>
          <w:b/>
        </w:rPr>
        <w:t>Policy</w:t>
      </w:r>
      <w:r w:rsidRPr="007779DF">
        <w:rPr>
          <w:b/>
        </w:rPr>
        <w:t xml:space="preserve"> Manual</w:t>
      </w:r>
    </w:p>
    <w:p w14:paraId="5F1E55A7" w14:textId="77777777" w:rsidR="00326F17" w:rsidRPr="004C7D11" w:rsidRDefault="00326F17" w:rsidP="00681621"/>
    <w:p w14:paraId="2F91A717" w14:textId="6E9F3692" w:rsidR="00F54224" w:rsidRDefault="00F54224" w:rsidP="00681621">
      <w:r>
        <w:rPr>
          <w:b/>
          <w:bCs/>
        </w:rPr>
        <w:t>Policy</w:t>
      </w:r>
      <w:r w:rsidRPr="004C7D11">
        <w:rPr>
          <w:b/>
          <w:bCs/>
        </w:rPr>
        <w:t>:</w:t>
      </w:r>
      <w:r w:rsidRPr="004C7D11">
        <w:t xml:space="preserve"> 605.1 Academic Appointments</w:t>
      </w:r>
    </w:p>
    <w:p w14:paraId="660AED5B" w14:textId="77777777" w:rsidR="008954BD" w:rsidRPr="004C7D11" w:rsidRDefault="008954BD" w:rsidP="00681621"/>
    <w:p w14:paraId="5F1E55A9" w14:textId="0471A0A7" w:rsidR="00326F17" w:rsidRPr="004C7D11" w:rsidRDefault="00326F17" w:rsidP="00681621">
      <w:r w:rsidRPr="004C7D11">
        <w:rPr>
          <w:b/>
          <w:bCs/>
        </w:rPr>
        <w:t>E</w:t>
      </w:r>
      <w:r w:rsidR="00F54224">
        <w:rPr>
          <w:b/>
          <w:bCs/>
        </w:rPr>
        <w:t>ffective</w:t>
      </w:r>
      <w:r w:rsidRPr="004C7D11">
        <w:rPr>
          <w:b/>
          <w:bCs/>
        </w:rPr>
        <w:t>:</w:t>
      </w:r>
      <w:r w:rsidRPr="004C7D11">
        <w:t xml:space="preserve"> </w:t>
      </w:r>
      <w:r w:rsidR="201FCDA2">
        <w:t>October 30</w:t>
      </w:r>
      <w:r w:rsidR="00FE674F">
        <w:t>, 2025</w:t>
      </w:r>
    </w:p>
    <w:p w14:paraId="19B023A5" w14:textId="77777777" w:rsidR="00461BC8" w:rsidRDefault="00461BC8" w:rsidP="00681621">
      <w:pPr>
        <w:pBdr>
          <w:bottom w:val="single" w:sz="4" w:space="1" w:color="auto"/>
        </w:pBdr>
      </w:pPr>
    </w:p>
    <w:p w14:paraId="0E319A2D" w14:textId="77777777" w:rsidR="00F54224" w:rsidRDefault="00F54224" w:rsidP="00681621"/>
    <w:p w14:paraId="3A82B7CB" w14:textId="77777777" w:rsidR="00CE1A4C" w:rsidRDefault="00CE1A4C" w:rsidP="001E2405">
      <w:pPr>
        <w:numPr>
          <w:ilvl w:val="0"/>
          <w:numId w:val="4"/>
        </w:numPr>
        <w:ind w:left="360"/>
      </w:pPr>
      <w:r>
        <w:t>Academic Freedom</w:t>
      </w:r>
    </w:p>
    <w:p w14:paraId="6A38C936" w14:textId="72A4E218" w:rsidR="00FC0F63" w:rsidRPr="004C7D11" w:rsidRDefault="00FC0F63" w:rsidP="001E2405">
      <w:pPr>
        <w:numPr>
          <w:ilvl w:val="1"/>
          <w:numId w:val="4"/>
        </w:numPr>
        <w:ind w:left="1080"/>
      </w:pPr>
      <w:r w:rsidRPr="004C7D11">
        <w:t>An institution is a forum for ideas, and it cannot fulfill its purpose of transmitting, evaluating, and extending knowledge if it requires conformity with any orthodoxy of content and method. Academic freedom and tenure are both important in guaranteeing the existence of such a forum. This policy is intended to enable institutions under the authority of the SBHE to protect academic freedom.</w:t>
      </w:r>
    </w:p>
    <w:p w14:paraId="1F8C1B9F" w14:textId="77777777" w:rsidR="00FC0F63" w:rsidRPr="004C7D11" w:rsidRDefault="00FC0F63" w:rsidP="001E2405">
      <w:pPr>
        <w:tabs>
          <w:tab w:val="left" w:pos="360"/>
        </w:tabs>
        <w:ind w:left="1080"/>
      </w:pPr>
    </w:p>
    <w:p w14:paraId="6C39E312" w14:textId="77777777" w:rsidR="00FC0F63" w:rsidRDefault="00FC0F63" w:rsidP="001E2405">
      <w:pPr>
        <w:pStyle w:val="ListParagraph"/>
        <w:numPr>
          <w:ilvl w:val="1"/>
          <w:numId w:val="4"/>
        </w:numPr>
        <w:ind w:left="1080"/>
      </w:pPr>
      <w:r w:rsidRPr="004C7D11">
        <w:t xml:space="preserve">The purpose of tenure is to assure academic freedom. Academic freedom applies to all scholarly pursuits. Freedom in scholarship is fundamental to the advancement of knowledge and for the protection of the rights of the faculty members and students. It carries with it duties and responsibilities correlative </w:t>
      </w:r>
      <w:proofErr w:type="gramStart"/>
      <w:r w:rsidRPr="004C7D11">
        <w:t>with</w:t>
      </w:r>
      <w:proofErr w:type="gramEnd"/>
      <w:r w:rsidRPr="004C7D11">
        <w:t xml:space="preserve"> rights. These duties and rights are set forth in SBHE Policy 401.1, relating to academic freedom, and the </w:t>
      </w:r>
      <w:r w:rsidRPr="00DC6924">
        <w:rPr>
          <w:bCs/>
        </w:rPr>
        <w:t>1940 Statement of Principles on Academic Freedom and Tenure</w:t>
      </w:r>
      <w:r w:rsidRPr="004C7D11">
        <w:t xml:space="preserve"> </w:t>
      </w:r>
      <w:r>
        <w:t>with 1970 Interpretive Comments</w:t>
      </w:r>
      <w:r w:rsidRPr="004C7D11">
        <w:t xml:space="preserve">, adopted by the American </w:t>
      </w:r>
      <w:r>
        <w:t>A</w:t>
      </w:r>
      <w:r w:rsidRPr="004C7D11">
        <w:t xml:space="preserve">ssociation of </w:t>
      </w:r>
      <w:r>
        <w:t>U</w:t>
      </w:r>
      <w:r w:rsidRPr="004C7D11">
        <w:t xml:space="preserve">niversity Professors and the </w:t>
      </w:r>
      <w:r>
        <w:t>A</w:t>
      </w:r>
      <w:r w:rsidRPr="004C7D11">
        <w:t xml:space="preserve">ssociation of American </w:t>
      </w:r>
      <w:r>
        <w:t>C</w:t>
      </w:r>
      <w:r w:rsidRPr="004C7D11">
        <w:t>olleges. These policies apply to all institution faculty unless otherwise indicated.</w:t>
      </w:r>
    </w:p>
    <w:p w14:paraId="03C9270C" w14:textId="77777777" w:rsidR="00FC0F63" w:rsidRDefault="00FC0F63" w:rsidP="00FC5049">
      <w:pPr>
        <w:pStyle w:val="ListParagraph"/>
      </w:pPr>
    </w:p>
    <w:p w14:paraId="7FC9E5A7" w14:textId="29C45692" w:rsidR="00C45D39" w:rsidRDefault="00C45D39" w:rsidP="001E2405">
      <w:pPr>
        <w:pStyle w:val="ListParagraph"/>
        <w:numPr>
          <w:ilvl w:val="0"/>
          <w:numId w:val="4"/>
        </w:numPr>
        <w:ind w:left="360"/>
      </w:pPr>
      <w:r>
        <w:t>Definitions</w:t>
      </w:r>
    </w:p>
    <w:p w14:paraId="7F7C26DC" w14:textId="437E3CC7" w:rsidR="00C45D39" w:rsidRDefault="00C45D39" w:rsidP="001E2405">
      <w:pPr>
        <w:pStyle w:val="ListParagraph"/>
        <w:numPr>
          <w:ilvl w:val="1"/>
          <w:numId w:val="4"/>
        </w:numPr>
        <w:ind w:left="1080"/>
      </w:pPr>
      <w:r>
        <w:t xml:space="preserve">Academic year </w:t>
      </w:r>
      <w:proofErr w:type="gramStart"/>
      <w:r>
        <w:t>is the period,</w:t>
      </w:r>
      <w:proofErr w:type="gramEnd"/>
      <w:r>
        <w:t xml:space="preserve"> approximately </w:t>
      </w:r>
      <w:r w:rsidR="00CA69B3">
        <w:t xml:space="preserve">nine </w:t>
      </w:r>
      <w:r>
        <w:t xml:space="preserve">months in duration, starting with the </w:t>
      </w:r>
      <w:r w:rsidRPr="00292275">
        <w:t xml:space="preserve">beginning of the fall semester and ending following </w:t>
      </w:r>
      <w:r w:rsidR="00C15457">
        <w:t xml:space="preserve">the </w:t>
      </w:r>
      <w:r w:rsidRPr="00292275">
        <w:t>completion of the spring semester.</w:t>
      </w:r>
    </w:p>
    <w:p w14:paraId="6C73C550" w14:textId="77777777" w:rsidR="002D3369" w:rsidRPr="00292275" w:rsidRDefault="002D3369" w:rsidP="001E2405">
      <w:pPr>
        <w:pStyle w:val="ListParagraph"/>
        <w:ind w:left="1080"/>
      </w:pPr>
    </w:p>
    <w:p w14:paraId="58EBB50A" w14:textId="7AE8611B" w:rsidR="00C45D39" w:rsidRPr="00292275" w:rsidRDefault="00C45D39" w:rsidP="001E2405">
      <w:pPr>
        <w:pStyle w:val="ListParagraph"/>
        <w:numPr>
          <w:ilvl w:val="1"/>
          <w:numId w:val="4"/>
        </w:numPr>
        <w:ind w:left="1080"/>
      </w:pPr>
      <w:r w:rsidRPr="00292275">
        <w:t>Faculty are a class of employees who have appointments that are probationary, tenure,</w:t>
      </w:r>
      <w:r w:rsidR="00844479">
        <w:t xml:space="preserve"> or special appointments</w:t>
      </w:r>
      <w:r w:rsidRPr="00292275">
        <w:t xml:space="preserve"> excluding coaches and administrators in their capacities as coaches or administrators.</w:t>
      </w:r>
    </w:p>
    <w:p w14:paraId="658D28DB" w14:textId="5CEE87F1" w:rsidR="00C45D39" w:rsidRPr="00292275" w:rsidRDefault="00C45D39" w:rsidP="00FC5049">
      <w:pPr>
        <w:pStyle w:val="ListParagraph"/>
        <w:ind w:left="1440"/>
      </w:pPr>
    </w:p>
    <w:p w14:paraId="73654CCC" w14:textId="77777777" w:rsidR="00C45D39" w:rsidRDefault="00C45D39" w:rsidP="001E2405">
      <w:pPr>
        <w:pStyle w:val="ListParagraph"/>
        <w:numPr>
          <w:ilvl w:val="0"/>
          <w:numId w:val="4"/>
        </w:numPr>
        <w:ind w:left="360"/>
      </w:pPr>
      <w:r>
        <w:t>Contracts</w:t>
      </w:r>
    </w:p>
    <w:p w14:paraId="104015E3" w14:textId="77777777" w:rsidR="00C45D39" w:rsidRDefault="00C45D39" w:rsidP="001E2405">
      <w:pPr>
        <w:pStyle w:val="ListParagraph"/>
        <w:numPr>
          <w:ilvl w:val="1"/>
          <w:numId w:val="4"/>
        </w:numPr>
        <w:ind w:left="1080"/>
      </w:pPr>
      <w:r w:rsidRPr="00FF1EB7">
        <w:t xml:space="preserve">The general terms and conditions of appointment shall be provided </w:t>
      </w:r>
      <w:r>
        <w:t xml:space="preserve">to </w:t>
      </w:r>
      <w:r w:rsidRPr="00FF1EB7">
        <w:t xml:space="preserve">the appointee in a written contract. </w:t>
      </w:r>
    </w:p>
    <w:p w14:paraId="02A45911" w14:textId="77777777" w:rsidR="00D87735" w:rsidRDefault="00D87735" w:rsidP="001E2405">
      <w:pPr>
        <w:pStyle w:val="ListParagraph"/>
        <w:ind w:left="1080"/>
      </w:pPr>
    </w:p>
    <w:p w14:paraId="05946EF9" w14:textId="77777777" w:rsidR="00C45D39" w:rsidRDefault="00C45D39" w:rsidP="001E2405">
      <w:pPr>
        <w:pStyle w:val="ListParagraph"/>
        <w:numPr>
          <w:ilvl w:val="1"/>
          <w:numId w:val="4"/>
        </w:numPr>
        <w:ind w:left="1080"/>
      </w:pPr>
      <w:r w:rsidRPr="00FF1EB7">
        <w:t xml:space="preserve">The contract shall state whether the appointment is probationary, tenured, or special. </w:t>
      </w:r>
    </w:p>
    <w:p w14:paraId="1E6C5C03" w14:textId="77777777" w:rsidR="00D87735" w:rsidRDefault="00D87735" w:rsidP="001E2405">
      <w:pPr>
        <w:pStyle w:val="ListParagraph"/>
        <w:ind w:left="1080"/>
      </w:pPr>
    </w:p>
    <w:p w14:paraId="2A720134" w14:textId="2D2B9351" w:rsidR="00C45D39" w:rsidRDefault="00C45D39" w:rsidP="001E2405">
      <w:pPr>
        <w:pStyle w:val="ListParagraph"/>
        <w:numPr>
          <w:ilvl w:val="1"/>
          <w:numId w:val="4"/>
        </w:numPr>
        <w:ind w:left="1080"/>
      </w:pPr>
      <w:r w:rsidRPr="00FF1EB7">
        <w:t xml:space="preserve">The term of a contract, except contracts made pursuant to subdivision </w:t>
      </w:r>
      <w:r w:rsidR="000F7B1F">
        <w:t>7</w:t>
      </w:r>
      <w:r w:rsidRPr="00FF1EB7">
        <w:t>(</w:t>
      </w:r>
      <w:r>
        <w:t>a</w:t>
      </w:r>
      <w:r w:rsidRPr="00FF1EB7">
        <w:t xml:space="preserve">)(x), shall not exceed one year. </w:t>
      </w:r>
    </w:p>
    <w:p w14:paraId="528F2409" w14:textId="77777777" w:rsidR="00D87735" w:rsidRDefault="00D87735" w:rsidP="001E2405">
      <w:pPr>
        <w:pStyle w:val="ListParagraph"/>
        <w:ind w:left="1080"/>
      </w:pPr>
    </w:p>
    <w:p w14:paraId="3BD65BEC" w14:textId="659D4319" w:rsidR="00C45D39" w:rsidRDefault="00C45D39" w:rsidP="001E2405">
      <w:pPr>
        <w:pStyle w:val="ListParagraph"/>
        <w:numPr>
          <w:ilvl w:val="1"/>
          <w:numId w:val="4"/>
        </w:numPr>
        <w:ind w:left="1080"/>
      </w:pPr>
      <w:r>
        <w:lastRenderedPageBreak/>
        <w:t xml:space="preserve">For faculty on nine- or ten-month contracts covering the traditional academic year, institutions shall issue contracts no later than June thirtieth each year, provide notice of renewal terms and an agreement or appointment letter to be signed by both parties. </w:t>
      </w:r>
    </w:p>
    <w:p w14:paraId="4C90B7D2" w14:textId="77777777" w:rsidR="00D87735" w:rsidRDefault="00D87735" w:rsidP="001E2405">
      <w:pPr>
        <w:pStyle w:val="ListParagraph"/>
        <w:ind w:left="1080"/>
      </w:pPr>
    </w:p>
    <w:p w14:paraId="29913917" w14:textId="77777777" w:rsidR="00C45D39" w:rsidRDefault="00C45D39" w:rsidP="001E2405">
      <w:pPr>
        <w:pStyle w:val="ListParagraph"/>
        <w:numPr>
          <w:ilvl w:val="1"/>
          <w:numId w:val="4"/>
        </w:numPr>
        <w:ind w:left="1080"/>
      </w:pPr>
      <w:r w:rsidRPr="00FF1EB7">
        <w:t xml:space="preserve">Absent good cause or agreement extending or establishing a different deadline, faculty shall sign and return a contract or other document indicating acceptance of contract terms not later than July twentieth. </w:t>
      </w:r>
    </w:p>
    <w:p w14:paraId="5BF7B41A" w14:textId="77777777" w:rsidR="00681621" w:rsidRDefault="00681621" w:rsidP="001E2405">
      <w:pPr>
        <w:pStyle w:val="ListParagraph"/>
        <w:ind w:left="1080"/>
      </w:pPr>
    </w:p>
    <w:p w14:paraId="4347DE5A" w14:textId="2ECE3D71" w:rsidR="00C45D39" w:rsidRDefault="00C45D39" w:rsidP="001E2405">
      <w:pPr>
        <w:pStyle w:val="ListParagraph"/>
        <w:numPr>
          <w:ilvl w:val="1"/>
          <w:numId w:val="4"/>
        </w:numPr>
        <w:ind w:left="1080"/>
      </w:pPr>
      <w:r w:rsidRPr="00FF1EB7">
        <w:t xml:space="preserve">Any contract issued with a deadline prior to July twentieth must provide faculty </w:t>
      </w:r>
      <w:r w:rsidR="00716B28">
        <w:t xml:space="preserve">with </w:t>
      </w:r>
      <w:r w:rsidRPr="00FF1EB7">
        <w:t xml:space="preserve">a minimum of two weeks from the date </w:t>
      </w:r>
      <w:proofErr w:type="gramStart"/>
      <w:r w:rsidRPr="00FF1EB7">
        <w:t>in</w:t>
      </w:r>
      <w:proofErr w:type="gramEnd"/>
      <w:r w:rsidRPr="00FF1EB7">
        <w:t xml:space="preserve"> which the </w:t>
      </w:r>
      <w:proofErr w:type="gramStart"/>
      <w:r w:rsidRPr="00FF1EB7">
        <w:t>contact</w:t>
      </w:r>
      <w:proofErr w:type="gramEnd"/>
      <w:r w:rsidRPr="00FF1EB7">
        <w:t xml:space="preserve"> was issued for review. </w:t>
      </w:r>
    </w:p>
    <w:p w14:paraId="4564D149" w14:textId="77777777" w:rsidR="00681621" w:rsidRDefault="00681621" w:rsidP="001E2405">
      <w:pPr>
        <w:pStyle w:val="ListParagraph"/>
        <w:ind w:left="1080"/>
      </w:pPr>
    </w:p>
    <w:p w14:paraId="372A08F9" w14:textId="77777777" w:rsidR="00C45D39" w:rsidRDefault="00C45D39" w:rsidP="001E2405">
      <w:pPr>
        <w:pStyle w:val="ListParagraph"/>
        <w:numPr>
          <w:ilvl w:val="1"/>
          <w:numId w:val="4"/>
        </w:numPr>
        <w:ind w:left="1080"/>
      </w:pPr>
      <w:r w:rsidRPr="00FF1EB7">
        <w:t xml:space="preserve">Institutions shall establish </w:t>
      </w:r>
      <w:r>
        <w:t xml:space="preserve">policies and </w:t>
      </w:r>
      <w:r w:rsidRPr="00FF1EB7">
        <w:t xml:space="preserve">procedures providing that failure to return a signed contract or other document indicating acceptance of contract terms the date stipulated on the contract constitutes a resignation resulting in termination of employment, except for good cause shown by the faculty member or unless the institution has granted an extension. </w:t>
      </w:r>
    </w:p>
    <w:p w14:paraId="5610846F" w14:textId="77777777" w:rsidR="00B80F15" w:rsidRDefault="00B80F15" w:rsidP="001E2405">
      <w:pPr>
        <w:pStyle w:val="ListParagraph"/>
        <w:ind w:left="1080"/>
      </w:pPr>
    </w:p>
    <w:p w14:paraId="62A70FF9" w14:textId="77777777" w:rsidR="00C45D39" w:rsidRDefault="00C45D39" w:rsidP="001E2405">
      <w:pPr>
        <w:pStyle w:val="ListParagraph"/>
        <w:numPr>
          <w:ilvl w:val="1"/>
          <w:numId w:val="4"/>
        </w:numPr>
        <w:ind w:left="1080"/>
      </w:pPr>
      <w:r w:rsidRPr="00FF1EB7">
        <w:t xml:space="preserve">All nine- or ten-month contracts must be returned no later than July twentieth. </w:t>
      </w:r>
    </w:p>
    <w:p w14:paraId="5A5528CE" w14:textId="77777777" w:rsidR="001E2405" w:rsidRDefault="001E2405" w:rsidP="001E2405">
      <w:pPr>
        <w:pStyle w:val="ListParagraph"/>
        <w:ind w:left="1080"/>
      </w:pPr>
    </w:p>
    <w:p w14:paraId="3E1CA34A" w14:textId="77777777" w:rsidR="00C45D39" w:rsidRDefault="00C45D39" w:rsidP="001E2405">
      <w:pPr>
        <w:pStyle w:val="ListParagraph"/>
        <w:numPr>
          <w:ilvl w:val="1"/>
          <w:numId w:val="4"/>
        </w:numPr>
        <w:ind w:left="1080"/>
      </w:pPr>
      <w:r w:rsidRPr="00FF1EB7">
        <w:t>Before the end of the spring semester each year, institutions shall provide notice to faculty summarizing the process and deadlines for contract renewal, including information on extending deadlines to accommodate faculty who may be traveling or not able to readily receive and respond to communications during summer months.</w:t>
      </w:r>
    </w:p>
    <w:p w14:paraId="75215475" w14:textId="77777777" w:rsidR="00B80F15" w:rsidRDefault="00B80F15" w:rsidP="00FC5049">
      <w:pPr>
        <w:pStyle w:val="ListParagraph"/>
        <w:ind w:left="1440"/>
      </w:pPr>
    </w:p>
    <w:p w14:paraId="6BB133EF" w14:textId="77777777" w:rsidR="00C45D39" w:rsidRDefault="00C45D39" w:rsidP="001E2405">
      <w:pPr>
        <w:pStyle w:val="ListParagraph"/>
        <w:numPr>
          <w:ilvl w:val="0"/>
          <w:numId w:val="4"/>
        </w:numPr>
        <w:ind w:left="360"/>
      </w:pPr>
      <w:r>
        <w:t>Evaluations</w:t>
      </w:r>
    </w:p>
    <w:p w14:paraId="082240CD" w14:textId="41746CBB" w:rsidR="00C45D39" w:rsidRDefault="00C45D39" w:rsidP="001E2405">
      <w:pPr>
        <w:pStyle w:val="ListParagraph"/>
        <w:numPr>
          <w:ilvl w:val="1"/>
          <w:numId w:val="4"/>
        </w:numPr>
        <w:ind w:left="1080"/>
      </w:pPr>
      <w:r w:rsidRPr="00FA4DDB">
        <w:t xml:space="preserve">The institutional </w:t>
      </w:r>
      <w:r>
        <w:t>policies and procedures</w:t>
      </w:r>
      <w:r w:rsidRPr="00FA4DDB">
        <w:t xml:space="preserve"> for </w:t>
      </w:r>
      <w:r>
        <w:t xml:space="preserve">the </w:t>
      </w:r>
      <w:r w:rsidRPr="00FA4DDB">
        <w:t xml:space="preserve">evaluation of faculty, the criteria, and minimum expectations for promotion and tenure, and provisions concerning required notices, shall be made known to the appointee at the time of appointment. </w:t>
      </w:r>
    </w:p>
    <w:p w14:paraId="361ED71B" w14:textId="77777777" w:rsidR="00B80F15" w:rsidRDefault="00B80F15" w:rsidP="001E2405">
      <w:pPr>
        <w:pStyle w:val="ListParagraph"/>
        <w:ind w:left="1080"/>
      </w:pPr>
    </w:p>
    <w:p w14:paraId="251CBE62" w14:textId="77777777" w:rsidR="00C45D39" w:rsidRDefault="00C45D39" w:rsidP="001E2405">
      <w:pPr>
        <w:pStyle w:val="ListParagraph"/>
        <w:numPr>
          <w:ilvl w:val="1"/>
          <w:numId w:val="4"/>
        </w:numPr>
        <w:ind w:left="1080"/>
      </w:pPr>
      <w:r w:rsidRPr="00FA4DDB">
        <w:t xml:space="preserve">This disclosure may be accomplished by a published description of the process, criteria, and expectations in a faculty handbook or similar document. </w:t>
      </w:r>
    </w:p>
    <w:p w14:paraId="5293FE06" w14:textId="77777777" w:rsidR="00B80F15" w:rsidRDefault="00B80F15" w:rsidP="001E2405">
      <w:pPr>
        <w:pStyle w:val="ListParagraph"/>
        <w:ind w:left="1080"/>
      </w:pPr>
    </w:p>
    <w:p w14:paraId="5AC07B22" w14:textId="77777777" w:rsidR="00C45D39" w:rsidRDefault="00C45D39" w:rsidP="001E2405">
      <w:pPr>
        <w:pStyle w:val="ListParagraph"/>
        <w:numPr>
          <w:ilvl w:val="1"/>
          <w:numId w:val="4"/>
        </w:numPr>
        <w:ind w:left="1080"/>
      </w:pPr>
      <w:r w:rsidRPr="00FA4DDB">
        <w:t xml:space="preserve">Such provisions are subject to change according to processes established for adoption or Amended of SBHE and institutional policies. </w:t>
      </w:r>
    </w:p>
    <w:p w14:paraId="002CDE4C" w14:textId="77777777" w:rsidR="00B80F15" w:rsidRDefault="00B80F15" w:rsidP="001E2405">
      <w:pPr>
        <w:pStyle w:val="ListParagraph"/>
        <w:ind w:left="1080"/>
      </w:pPr>
    </w:p>
    <w:p w14:paraId="2540B6C6" w14:textId="77777777" w:rsidR="00C45D39" w:rsidRDefault="00C45D39" w:rsidP="001E2405">
      <w:pPr>
        <w:pStyle w:val="ListParagraph"/>
        <w:numPr>
          <w:ilvl w:val="1"/>
          <w:numId w:val="4"/>
        </w:numPr>
        <w:ind w:left="1080"/>
      </w:pPr>
      <w:r w:rsidRPr="00FA4DDB">
        <w:t>Institution</w:t>
      </w:r>
      <w:r w:rsidRPr="00A73D77">
        <w:t xml:space="preserve"> policies and</w:t>
      </w:r>
      <w:r w:rsidRPr="00FA4DDB">
        <w:t xml:space="preserve"> procedures shall provide for annual evaluation of all full-time faculty. </w:t>
      </w:r>
    </w:p>
    <w:p w14:paraId="0A782F4D" w14:textId="77777777" w:rsidR="00685AC2" w:rsidRDefault="00685AC2" w:rsidP="001E2405">
      <w:pPr>
        <w:pStyle w:val="ListParagraph"/>
        <w:ind w:left="1080"/>
      </w:pPr>
    </w:p>
    <w:p w14:paraId="3EB0813A" w14:textId="77777777" w:rsidR="00C45D39" w:rsidRDefault="00C45D39" w:rsidP="001E2405">
      <w:pPr>
        <w:pStyle w:val="ListParagraph"/>
        <w:numPr>
          <w:ilvl w:val="1"/>
          <w:numId w:val="4"/>
        </w:numPr>
        <w:ind w:left="1080"/>
      </w:pPr>
      <w:r w:rsidRPr="00FA4DDB">
        <w:t xml:space="preserve">The </w:t>
      </w:r>
      <w:r w:rsidRPr="00F31F78">
        <w:t xml:space="preserve">policies and </w:t>
      </w:r>
      <w:r w:rsidRPr="00FA4DDB">
        <w:t xml:space="preserve">procedures shall include provisions requiring that evaluations are completed in a timely and appropriate fashion and that the institution takes appropriate remedial action in response to unsatisfactory evaluations. </w:t>
      </w:r>
    </w:p>
    <w:p w14:paraId="3530E02F" w14:textId="7E248F8E" w:rsidR="00685AC2" w:rsidRDefault="00685AC2" w:rsidP="001E2405">
      <w:pPr>
        <w:pStyle w:val="ListParagraph"/>
        <w:ind w:left="1080"/>
      </w:pPr>
    </w:p>
    <w:p w14:paraId="145A69DC" w14:textId="2A7C0F7C" w:rsidR="00C45D39" w:rsidRDefault="00C45D39" w:rsidP="001E2405">
      <w:pPr>
        <w:pStyle w:val="ListParagraph"/>
        <w:numPr>
          <w:ilvl w:val="1"/>
          <w:numId w:val="4"/>
        </w:numPr>
        <w:ind w:left="1080"/>
      </w:pPr>
      <w:r w:rsidRPr="00FA4DDB">
        <w:t>Evaluation criteria shall relate to a faculty member's duties</w:t>
      </w:r>
      <w:r w:rsidR="0021532C">
        <w:t xml:space="preserve">, </w:t>
      </w:r>
      <w:r w:rsidRPr="00FA4DDB">
        <w:t>goals</w:t>
      </w:r>
      <w:r w:rsidR="0021532C">
        <w:t>, and other criteria established by the institution</w:t>
      </w:r>
      <w:r w:rsidRPr="00FA4DDB">
        <w:t xml:space="preserve"> and be appropriately </w:t>
      </w:r>
      <w:proofErr w:type="gramStart"/>
      <w:r w:rsidRPr="00FA4DDB">
        <w:t>weighted</w:t>
      </w:r>
      <w:proofErr w:type="gramEnd"/>
      <w:r w:rsidRPr="00FA4DDB">
        <w:t xml:space="preserve"> in accordance with the terms of the faculty member's contract. </w:t>
      </w:r>
    </w:p>
    <w:p w14:paraId="5E85CD14" w14:textId="77777777" w:rsidR="00685AC2" w:rsidRDefault="00685AC2" w:rsidP="001E2405">
      <w:pPr>
        <w:pStyle w:val="ListParagraph"/>
        <w:ind w:left="1080"/>
      </w:pPr>
    </w:p>
    <w:p w14:paraId="6B9BE3F4" w14:textId="77777777" w:rsidR="00C45D39" w:rsidRDefault="00C45D39" w:rsidP="001E2405">
      <w:pPr>
        <w:pStyle w:val="ListParagraph"/>
        <w:numPr>
          <w:ilvl w:val="1"/>
          <w:numId w:val="4"/>
        </w:numPr>
        <w:ind w:left="1080"/>
      </w:pPr>
      <w:r w:rsidRPr="00FA4DDB">
        <w:lastRenderedPageBreak/>
        <w:t>Evaluations of all teaching faculty must include significant student input.</w:t>
      </w:r>
    </w:p>
    <w:p w14:paraId="626E93D9" w14:textId="77777777" w:rsidR="00685AC2" w:rsidRDefault="00685AC2" w:rsidP="001E2405">
      <w:pPr>
        <w:pStyle w:val="ListParagraph"/>
        <w:ind w:left="1080"/>
      </w:pPr>
    </w:p>
    <w:p w14:paraId="5684E8F9" w14:textId="4365B344" w:rsidR="00C45D39" w:rsidRPr="00473A29" w:rsidRDefault="00C45D39" w:rsidP="001E2405">
      <w:pPr>
        <w:pStyle w:val="ListParagraph"/>
        <w:numPr>
          <w:ilvl w:val="1"/>
          <w:numId w:val="4"/>
        </w:numPr>
        <w:ind w:left="1080"/>
      </w:pPr>
      <w:r>
        <w:t>T</w:t>
      </w:r>
      <w:r w:rsidRPr="00473A29">
        <w:t>he faculty governance structure at each institution shall</w:t>
      </w:r>
      <w:r>
        <w:t xml:space="preserve"> provide procedural input</w:t>
      </w:r>
      <w:r w:rsidRPr="00473A29">
        <w:t xml:space="preserve"> to the president to implement SBHE Policies 605.1, 605.2, 605.3</w:t>
      </w:r>
      <w:r w:rsidR="00CD3F63">
        <w:t>,</w:t>
      </w:r>
      <w:r w:rsidRPr="00473A29">
        <w:t xml:space="preserve"> and 605.4, in accordance with SBHE Policy 305.1</w:t>
      </w:r>
      <w:r>
        <w:t xml:space="preserve"> and N.D.C.C. </w:t>
      </w:r>
      <w:r w:rsidRPr="00FC5049">
        <w:rPr>
          <w:rStyle w:val="normaltextrun"/>
          <w:bdr w:val="none" w:sz="0" w:space="0" w:color="auto" w:frame="1"/>
        </w:rPr>
        <w:t>§</w:t>
      </w:r>
      <w:r>
        <w:t xml:space="preserve"> 15-10-73</w:t>
      </w:r>
      <w:r w:rsidRPr="00473A29">
        <w:t>:</w:t>
      </w:r>
    </w:p>
    <w:p w14:paraId="69A22331" w14:textId="0861D588" w:rsidR="00E473AF" w:rsidRDefault="005441D6" w:rsidP="001E2405">
      <w:pPr>
        <w:pStyle w:val="ListParagraph"/>
        <w:numPr>
          <w:ilvl w:val="2"/>
          <w:numId w:val="4"/>
        </w:numPr>
        <w:ind w:left="1620"/>
      </w:pPr>
      <w:r>
        <w:t>I</w:t>
      </w:r>
      <w:r w:rsidR="00C45D39" w:rsidRPr="00D94B50">
        <w:t>nstitution procedur</w:t>
      </w:r>
      <w:r w:rsidR="00C45D39">
        <w:t>es</w:t>
      </w:r>
      <w:r w:rsidR="00C45D39" w:rsidRPr="00D94B50">
        <w:t xml:space="preserve"> must include</w:t>
      </w:r>
      <w:r w:rsidR="00A44FB5">
        <w:t xml:space="preserve"> </w:t>
      </w:r>
      <w:r w:rsidR="00A00F17">
        <w:t xml:space="preserve">an annual </w:t>
      </w:r>
      <w:r w:rsidR="00A44FB5">
        <w:t xml:space="preserve">evaluation of </w:t>
      </w:r>
      <w:r w:rsidR="00076B9C">
        <w:t>probationary</w:t>
      </w:r>
      <w:r w:rsidR="00A44FB5">
        <w:t>, tenure,</w:t>
      </w:r>
      <w:r w:rsidR="00A00F17">
        <w:t xml:space="preserve"> and</w:t>
      </w:r>
      <w:r w:rsidR="00A44FB5">
        <w:t xml:space="preserve"> </w:t>
      </w:r>
      <w:r w:rsidR="00CD2A9E">
        <w:t>special</w:t>
      </w:r>
      <w:r w:rsidR="0061315B">
        <w:t xml:space="preserve"> a</w:t>
      </w:r>
      <w:r w:rsidR="00076B9C">
        <w:t>ppointment</w:t>
      </w:r>
      <w:r w:rsidR="00A00F17">
        <w:t>.</w:t>
      </w:r>
      <w:r w:rsidR="00076B9C">
        <w:t xml:space="preserve"> </w:t>
      </w:r>
    </w:p>
    <w:p w14:paraId="322766F5" w14:textId="77777777" w:rsidR="001E2405" w:rsidRDefault="001E2405" w:rsidP="001E2405">
      <w:pPr>
        <w:pStyle w:val="ListParagraph"/>
        <w:ind w:left="1620"/>
      </w:pPr>
    </w:p>
    <w:p w14:paraId="3E187503" w14:textId="34130C08" w:rsidR="00066042" w:rsidRDefault="000162CE" w:rsidP="001E2405">
      <w:pPr>
        <w:pStyle w:val="ListParagraph"/>
        <w:numPr>
          <w:ilvl w:val="2"/>
          <w:numId w:val="4"/>
        </w:numPr>
        <w:ind w:left="1620"/>
      </w:pPr>
      <w:r>
        <w:t xml:space="preserve">Institution procedures must include </w:t>
      </w:r>
      <w:r w:rsidR="00E970E6">
        <w:t>post-tenure evaluation</w:t>
      </w:r>
      <w:r w:rsidR="000A2B94">
        <w:t>. The first evaluation must occur</w:t>
      </w:r>
      <w:r w:rsidR="00417E2C">
        <w:t xml:space="preserve"> within</w:t>
      </w:r>
      <w:r w:rsidR="0089493C">
        <w:t xml:space="preserve"> </w:t>
      </w:r>
      <w:r w:rsidR="004B121B">
        <w:t>three years</w:t>
      </w:r>
      <w:r w:rsidR="0089493C">
        <w:t>.</w:t>
      </w:r>
      <w:r w:rsidR="00583B5F">
        <w:t xml:space="preserve"> Subsequent evaluation</w:t>
      </w:r>
      <w:r w:rsidR="009E5120">
        <w:t>s</w:t>
      </w:r>
      <w:r w:rsidR="00583B5F">
        <w:t xml:space="preserve"> shall be compl</w:t>
      </w:r>
      <w:r w:rsidR="00A53F06">
        <w:t xml:space="preserve">eted every five years or more frequently. </w:t>
      </w:r>
    </w:p>
    <w:p w14:paraId="6786C4C1" w14:textId="77777777" w:rsidR="001E2405" w:rsidRDefault="001E2405" w:rsidP="001E2405">
      <w:pPr>
        <w:pStyle w:val="ListParagraph"/>
        <w:ind w:left="1620"/>
      </w:pPr>
    </w:p>
    <w:p w14:paraId="7A5FF09B" w14:textId="68D4BDB2" w:rsidR="00D67487" w:rsidRDefault="00D57D1E" w:rsidP="001E2405">
      <w:pPr>
        <w:pStyle w:val="ListParagraph"/>
        <w:numPr>
          <w:ilvl w:val="2"/>
          <w:numId w:val="4"/>
        </w:numPr>
        <w:ind w:left="1620"/>
      </w:pPr>
      <w:r>
        <w:t>C</w:t>
      </w:r>
      <w:r w:rsidR="00DF1B8A">
        <w:t>riteria</w:t>
      </w:r>
      <w:r w:rsidR="00FA6724">
        <w:t xml:space="preserve"> </w:t>
      </w:r>
      <w:r w:rsidR="00C45D39" w:rsidRPr="00BE3904">
        <w:t xml:space="preserve">shall include </w:t>
      </w:r>
      <w:r w:rsidR="00F375A9">
        <w:t>teaching</w:t>
      </w:r>
      <w:r w:rsidR="000D3A23">
        <w:t xml:space="preserve"> and the</w:t>
      </w:r>
      <w:r w:rsidR="00F375A9">
        <w:t xml:space="preserve"> </w:t>
      </w:r>
      <w:r w:rsidR="00C45D39" w:rsidRPr="00BE3904">
        <w:t xml:space="preserve">scholarship </w:t>
      </w:r>
      <w:r w:rsidR="000D3A23">
        <w:t>of</w:t>
      </w:r>
      <w:r w:rsidR="00C45D39" w:rsidRPr="00BE3904">
        <w:t xml:space="preserve"> teaching, contribution to a discipline or profession through research,</w:t>
      </w:r>
      <w:r w:rsidR="00F00D21">
        <w:t xml:space="preserve"> </w:t>
      </w:r>
      <w:r w:rsidR="00C45D39" w:rsidRPr="00BE3904">
        <w:t>service to the institution and society</w:t>
      </w:r>
      <w:r w:rsidR="000D3A23">
        <w:t>, and</w:t>
      </w:r>
      <w:r w:rsidR="000D3A23" w:rsidRPr="000D3A23">
        <w:t xml:space="preserve"> </w:t>
      </w:r>
      <w:r w:rsidR="000D3A23" w:rsidRPr="00BE3904">
        <w:t>other scholarly or professional activities</w:t>
      </w:r>
      <w:r w:rsidR="000D3A23" w:rsidRPr="00D8049E">
        <w:t xml:space="preserve"> as defined by the </w:t>
      </w:r>
      <w:r w:rsidR="000D3A23">
        <w:t>institution</w:t>
      </w:r>
      <w:r w:rsidR="00C45D39" w:rsidRPr="00BE3904">
        <w:t>. Institutions may adopt additional criteria</w:t>
      </w:r>
      <w:r w:rsidR="00287453">
        <w:t xml:space="preserve"> </w:t>
      </w:r>
      <w:r w:rsidR="00C45D39" w:rsidRPr="00BE3904">
        <w:t>consistent with the nature and mission of the institution.</w:t>
      </w:r>
    </w:p>
    <w:p w14:paraId="521225F4" w14:textId="77777777" w:rsidR="001E2405" w:rsidRPr="00BE3904" w:rsidRDefault="001E2405" w:rsidP="001E2405">
      <w:pPr>
        <w:pStyle w:val="ListParagraph"/>
        <w:ind w:left="1620"/>
      </w:pPr>
    </w:p>
    <w:p w14:paraId="321FEDF6" w14:textId="7129F62E" w:rsidR="00C45D39" w:rsidRDefault="00C45D39" w:rsidP="001E2405">
      <w:pPr>
        <w:pStyle w:val="ListParagraph"/>
        <w:numPr>
          <w:ilvl w:val="2"/>
          <w:numId w:val="4"/>
        </w:numPr>
        <w:ind w:left="1620"/>
      </w:pPr>
      <w:r w:rsidRPr="00A252E0">
        <w:t>Institution</w:t>
      </w:r>
      <w:r>
        <w:t>al policies and procedures</w:t>
      </w:r>
      <w:r w:rsidRPr="00A252E0">
        <w:t xml:space="preserve"> shall include guidelines for determining the proper weight distribution of the criteria</w:t>
      </w:r>
      <w:r w:rsidR="00287453">
        <w:t xml:space="preserve"> </w:t>
      </w:r>
      <w:r w:rsidRPr="00A252E0">
        <w:t xml:space="preserve">for tenure evaluation and continuing evaluation. The </w:t>
      </w:r>
      <w:r>
        <w:t xml:space="preserve">policies and procedures </w:t>
      </w:r>
      <w:r w:rsidRPr="00A252E0">
        <w:t>shall</w:t>
      </w:r>
      <w:r w:rsidR="00A622D3" w:rsidRPr="00A252E0">
        <w:t xml:space="preserve"> </w:t>
      </w:r>
      <w:r w:rsidRPr="00A252E0">
        <w:t>provide for varying emphases on the criteria based upon the faculty member's plan, the needs of the institution</w:t>
      </w:r>
      <w:r w:rsidR="00B5292D">
        <w:t>,</w:t>
      </w:r>
      <w:r w:rsidRPr="00A252E0">
        <w:t xml:space="preserve"> and the background, abilities</w:t>
      </w:r>
      <w:r w:rsidR="00B5292D">
        <w:t>,</w:t>
      </w:r>
      <w:r w:rsidRPr="00A252E0">
        <w:t xml:space="preserve"> and interests of the faculty member.</w:t>
      </w:r>
    </w:p>
    <w:p w14:paraId="0AC19127" w14:textId="77777777" w:rsidR="001E2405" w:rsidRDefault="001E2405" w:rsidP="001E2405">
      <w:pPr>
        <w:pStyle w:val="ListParagraph"/>
        <w:ind w:left="1620"/>
      </w:pPr>
    </w:p>
    <w:p w14:paraId="34A2447B" w14:textId="6F655EB1" w:rsidR="00FD38F8" w:rsidRDefault="00C45D39" w:rsidP="001E2405">
      <w:pPr>
        <w:pStyle w:val="ListParagraph"/>
        <w:numPr>
          <w:ilvl w:val="2"/>
          <w:numId w:val="4"/>
        </w:numPr>
        <w:ind w:left="1620"/>
      </w:pPr>
      <w:r w:rsidRPr="008D6D52">
        <w:t xml:space="preserve">Tenured and probationary </w:t>
      </w:r>
      <w:r>
        <w:t xml:space="preserve">appointment </w:t>
      </w:r>
      <w:r w:rsidRPr="008D6D52">
        <w:t xml:space="preserve">contracts shall identify the tenure plan and describe the duties and goals. The </w:t>
      </w:r>
      <w:proofErr w:type="gramStart"/>
      <w:r w:rsidRPr="008D6D52">
        <w:t>contracts shall</w:t>
      </w:r>
      <w:proofErr w:type="gramEnd"/>
      <w:r w:rsidRPr="008D6D52">
        <w:t xml:space="preserve"> specify the distribution of the criteria used for evaluating performance. The contract provisions shall be reviewed </w:t>
      </w:r>
      <w:r>
        <w:t xml:space="preserve">annually and may be revised by the </w:t>
      </w:r>
      <w:r w:rsidR="00B26280">
        <w:t>institution</w:t>
      </w:r>
      <w:r w:rsidRPr="008D6D52">
        <w:t xml:space="preserve"> when appropriate</w:t>
      </w:r>
      <w:r>
        <w:t>.</w:t>
      </w:r>
    </w:p>
    <w:p w14:paraId="0E0F18F5" w14:textId="77777777" w:rsidR="009A0B8A" w:rsidRDefault="009A0B8A" w:rsidP="000A44CD">
      <w:pPr>
        <w:pStyle w:val="ListParagraph"/>
      </w:pPr>
    </w:p>
    <w:p w14:paraId="04034F8A" w14:textId="19FE5B72" w:rsidR="009A0B8A" w:rsidRDefault="009A0B8A" w:rsidP="001E2405">
      <w:pPr>
        <w:pStyle w:val="ListParagraph"/>
        <w:numPr>
          <w:ilvl w:val="2"/>
          <w:numId w:val="4"/>
        </w:numPr>
        <w:ind w:left="1620"/>
      </w:pPr>
      <w:r w:rsidRPr="006861F2">
        <w:t xml:space="preserve">The composition of a culminating post-tenure evaluation committee must include the administrative supervisor of the faculty member being evaluated, at least one ranking administrator, and tenured faculty </w:t>
      </w:r>
      <w:r w:rsidR="005E4662">
        <w:t xml:space="preserve">(excluding the administrative supervisor) </w:t>
      </w:r>
      <w:r w:rsidRPr="006861F2">
        <w:t>comprising no less than one-third and no more than one-half of the committee.</w:t>
      </w:r>
    </w:p>
    <w:p w14:paraId="7004D353" w14:textId="77777777" w:rsidR="009A0B8A" w:rsidRDefault="009A0B8A" w:rsidP="000A44CD">
      <w:pPr>
        <w:pStyle w:val="ListParagraph"/>
      </w:pPr>
    </w:p>
    <w:p w14:paraId="1276BB87" w14:textId="7B5D5C76" w:rsidR="009A0B8A" w:rsidRDefault="009A0B8A" w:rsidP="001E2405">
      <w:pPr>
        <w:pStyle w:val="ListParagraph"/>
        <w:numPr>
          <w:ilvl w:val="2"/>
          <w:numId w:val="4"/>
        </w:numPr>
        <w:ind w:left="1620"/>
      </w:pPr>
      <w:r w:rsidRPr="009A0B8A">
        <w:t>If the post-tenure review results in a written notice of intent to terminate for cause pursuant to Policy 605.3(8) or the imposition of a formal sanction pursuant to Policy 605.3(9), the faculty member may request a hearing before the Standing Committee on Faculty Rights in accordance with Policy 605.4. If the outcome of the post-tenure review results in a non-disciplinary action, such as the implementation of a performance improvement plan, the faculty member’s rights are governed by N</w:t>
      </w:r>
      <w:r w:rsidR="005D76D1">
        <w:t>.</w:t>
      </w:r>
      <w:r w:rsidRPr="009A0B8A">
        <w:t>D</w:t>
      </w:r>
      <w:r w:rsidR="005D76D1">
        <w:t>.</w:t>
      </w:r>
      <w:r w:rsidRPr="009A0B8A">
        <w:t>C</w:t>
      </w:r>
      <w:r w:rsidR="005D76D1">
        <w:t>.</w:t>
      </w:r>
      <w:r w:rsidRPr="009A0B8A">
        <w:t>C</w:t>
      </w:r>
      <w:r w:rsidR="005D76D1">
        <w:t>.</w:t>
      </w:r>
      <w:r w:rsidRPr="009A0B8A">
        <w:t xml:space="preserve"> </w:t>
      </w:r>
      <w:r w:rsidR="005D76D1">
        <w:t xml:space="preserve">§ </w:t>
      </w:r>
      <w:r w:rsidRPr="009A0B8A">
        <w:t>54-06-21 and the institution’s grievance procedures established under Policy 612.</w:t>
      </w:r>
    </w:p>
    <w:p w14:paraId="4E300AC1" w14:textId="77777777" w:rsidR="001E2405" w:rsidRDefault="001E2405" w:rsidP="001E2405">
      <w:pPr>
        <w:pStyle w:val="ListParagraph"/>
      </w:pPr>
    </w:p>
    <w:p w14:paraId="5DE60ACE" w14:textId="77777777" w:rsidR="003038F8" w:rsidRDefault="003038F8" w:rsidP="001E2405">
      <w:pPr>
        <w:pStyle w:val="ListParagraph"/>
      </w:pPr>
    </w:p>
    <w:p w14:paraId="7E32BB2D" w14:textId="77777777" w:rsidR="003038F8" w:rsidRDefault="003038F8" w:rsidP="001E2405">
      <w:pPr>
        <w:pStyle w:val="ListParagraph"/>
      </w:pPr>
    </w:p>
    <w:p w14:paraId="4699F7DC" w14:textId="2359FC48" w:rsidR="00C45D39" w:rsidRDefault="00C45D39" w:rsidP="00FF0E0F">
      <w:pPr>
        <w:pStyle w:val="ListParagraph"/>
        <w:numPr>
          <w:ilvl w:val="0"/>
          <w:numId w:val="4"/>
        </w:numPr>
        <w:ind w:left="360"/>
      </w:pPr>
      <w:r>
        <w:lastRenderedPageBreak/>
        <w:t>Probationary Appointments</w:t>
      </w:r>
    </w:p>
    <w:p w14:paraId="1BC69CB9" w14:textId="77777777" w:rsidR="00C45D39" w:rsidRDefault="00C45D39" w:rsidP="00FF0E0F">
      <w:pPr>
        <w:pStyle w:val="ListParagraph"/>
        <w:numPr>
          <w:ilvl w:val="1"/>
          <w:numId w:val="4"/>
        </w:numPr>
        <w:ind w:left="1080"/>
      </w:pPr>
      <w:r w:rsidRPr="002F0EB1">
        <w:t xml:space="preserve">Probationary appointments are renewable annually and yield credit toward tenure. The probationary </w:t>
      </w:r>
      <w:r>
        <w:t xml:space="preserve">appointment </w:t>
      </w:r>
      <w:r w:rsidRPr="002F0EB1">
        <w:t>term is limited to six years of continuous academic service, excluding extensions to the term or exceptions to the continuous service requirement granted in exceptional circumstances.</w:t>
      </w:r>
    </w:p>
    <w:p w14:paraId="2D772AF7" w14:textId="2E6FB18B" w:rsidR="00C45D39" w:rsidRDefault="00C45D39" w:rsidP="00FF0E0F">
      <w:pPr>
        <w:pStyle w:val="ListParagraph"/>
        <w:numPr>
          <w:ilvl w:val="2"/>
          <w:numId w:val="4"/>
        </w:numPr>
        <w:ind w:left="1620"/>
      </w:pPr>
      <w:r>
        <w:t xml:space="preserve">An individual with previous professional experience may, according to the institution's policies and procedures, be given tenure credit not to exceed three years for this experience, with such credit to be regarded as academic service to the institution for the purpose of these regulations. The faculty </w:t>
      </w:r>
      <w:proofErr w:type="gramStart"/>
      <w:r>
        <w:t>member</w:t>
      </w:r>
      <w:proofErr w:type="gramEnd"/>
      <w:r>
        <w:t xml:space="preserve"> shall be informed in writing of this policy and the institution's decision before or at the time of appointment.</w:t>
      </w:r>
    </w:p>
    <w:p w14:paraId="3D4258CA" w14:textId="77777777" w:rsidR="00DF28D2" w:rsidRDefault="00DF28D2" w:rsidP="00FF0E0F">
      <w:pPr>
        <w:pStyle w:val="ListParagraph"/>
        <w:ind w:left="1620"/>
      </w:pPr>
    </w:p>
    <w:p w14:paraId="4FB823B1" w14:textId="77777777" w:rsidR="00C45D39" w:rsidRDefault="00C45D39" w:rsidP="00FF0E0F">
      <w:pPr>
        <w:pStyle w:val="ListParagraph"/>
        <w:numPr>
          <w:ilvl w:val="2"/>
          <w:numId w:val="4"/>
        </w:numPr>
        <w:ind w:left="1620"/>
      </w:pPr>
      <w:r w:rsidRPr="00DE1CDE">
        <w:t>Time spent on leave of absence or developmental leave</w:t>
      </w:r>
      <w:r>
        <w:t xml:space="preserve"> (defined in SBHE Policy 701.2)</w:t>
      </w:r>
      <w:r w:rsidRPr="00DE1CDE">
        <w:t xml:space="preserve"> may be counted, up to a maximum of two years, as academic service for the purposes of these regulations. The amount shall be determined, and the faculty member informed in writing, including any applicable conditions, before authorization of the leave.</w:t>
      </w:r>
    </w:p>
    <w:p w14:paraId="321D20F9" w14:textId="77777777" w:rsidR="00DF28D2" w:rsidRPr="002F0EB1" w:rsidRDefault="00DF28D2" w:rsidP="00FC5049">
      <w:pPr>
        <w:pStyle w:val="ListParagraph"/>
        <w:ind w:left="2160"/>
      </w:pPr>
    </w:p>
    <w:p w14:paraId="663E0E99" w14:textId="77777777" w:rsidR="00C45D39" w:rsidRDefault="00C45D39" w:rsidP="00FF0E0F">
      <w:pPr>
        <w:pStyle w:val="ListParagraph"/>
        <w:numPr>
          <w:ilvl w:val="1"/>
          <w:numId w:val="4"/>
        </w:numPr>
        <w:ind w:left="1080"/>
      </w:pPr>
      <w:r w:rsidRPr="004C7D11">
        <w:t>An institution may decline to renew the contract of a probationary faculty member without cause at any time during the probationary period, subject to procedural requirements in SBHE Policies 605.1, 605.2, 605.3, and 605.4.</w:t>
      </w:r>
    </w:p>
    <w:p w14:paraId="3417B5ED" w14:textId="77777777" w:rsidR="00DF28D2" w:rsidRDefault="00DF28D2" w:rsidP="00FC5049">
      <w:pPr>
        <w:pStyle w:val="ListParagraph"/>
        <w:ind w:left="1440"/>
      </w:pPr>
    </w:p>
    <w:p w14:paraId="75C2E07D" w14:textId="77777777" w:rsidR="00C45D39" w:rsidRDefault="00C45D39" w:rsidP="00FF0E0F">
      <w:pPr>
        <w:pStyle w:val="ListParagraph"/>
        <w:numPr>
          <w:ilvl w:val="0"/>
          <w:numId w:val="4"/>
        </w:numPr>
        <w:ind w:left="360"/>
      </w:pPr>
      <w:r>
        <w:t>Tenure Appointments</w:t>
      </w:r>
    </w:p>
    <w:p w14:paraId="202CE6AC" w14:textId="77777777" w:rsidR="00750902" w:rsidRDefault="00750902" w:rsidP="00750902">
      <w:pPr>
        <w:pStyle w:val="ListParagraph"/>
        <w:numPr>
          <w:ilvl w:val="1"/>
          <w:numId w:val="4"/>
        </w:numPr>
        <w:ind w:left="1080"/>
      </w:pPr>
      <w:r w:rsidRPr="00B01830">
        <w:t>Eligibility for tenure</w:t>
      </w:r>
      <w:r>
        <w:t xml:space="preserve"> </w:t>
      </w:r>
      <w:r w:rsidRPr="00B01830">
        <w:t xml:space="preserve">is dependent on faculty holding a master’s, doctorate, and/or terminal professional degree in a teaching or professional field. Tenure eligibility will also be dependent on specific program accreditation standards. </w:t>
      </w:r>
    </w:p>
    <w:p w14:paraId="759A28DA" w14:textId="77777777" w:rsidR="00750902" w:rsidRDefault="00750902" w:rsidP="00750902">
      <w:pPr>
        <w:pStyle w:val="ListParagraph"/>
        <w:numPr>
          <w:ilvl w:val="2"/>
          <w:numId w:val="4"/>
        </w:numPr>
        <w:ind w:left="1620"/>
      </w:pPr>
      <w:r w:rsidRPr="00B01830">
        <w:t>This provision is not to be applied retroactively and faculty members who have obtained tenure but do not meet this requirement will maintain tenure.</w:t>
      </w:r>
      <w:r>
        <w:t xml:space="preserve"> </w:t>
      </w:r>
    </w:p>
    <w:p w14:paraId="361E2144" w14:textId="77777777" w:rsidR="00750902" w:rsidRDefault="00750902" w:rsidP="00A92DAC">
      <w:pPr>
        <w:pStyle w:val="ListParagraph"/>
        <w:ind w:left="1620"/>
      </w:pPr>
    </w:p>
    <w:p w14:paraId="5C274212" w14:textId="3CEF0119" w:rsidR="00A41050" w:rsidRPr="00754CA3" w:rsidRDefault="00750902" w:rsidP="00A92DAC">
      <w:pPr>
        <w:pStyle w:val="ListParagraph"/>
        <w:numPr>
          <w:ilvl w:val="2"/>
          <w:numId w:val="4"/>
        </w:numPr>
        <w:ind w:left="1620"/>
      </w:pPr>
      <w:r>
        <w:t>Institutions may set additional requirements for tenure as a matter of institutional policy.</w:t>
      </w:r>
    </w:p>
    <w:p w14:paraId="1ED1A9AB" w14:textId="77777777" w:rsidR="00FC50E8" w:rsidRDefault="00FC50E8" w:rsidP="00A92DAC">
      <w:pPr>
        <w:pStyle w:val="ListParagraph"/>
        <w:ind w:left="1080"/>
      </w:pPr>
    </w:p>
    <w:p w14:paraId="502B249A" w14:textId="11DCBC0F" w:rsidR="00C45D39" w:rsidRDefault="00C45D39" w:rsidP="00B261E6">
      <w:pPr>
        <w:pStyle w:val="ListParagraph"/>
        <w:numPr>
          <w:ilvl w:val="1"/>
          <w:numId w:val="4"/>
        </w:numPr>
        <w:ind w:left="1080"/>
      </w:pPr>
      <w:r w:rsidRPr="002258EA">
        <w:t>Eligibility for</w:t>
      </w:r>
      <w:r w:rsidR="002467E8">
        <w:t xml:space="preserve"> a</w:t>
      </w:r>
      <w:r w:rsidRPr="002258EA">
        <w:t xml:space="preserve"> tenure</w:t>
      </w:r>
      <w:r>
        <w:t xml:space="preserve"> appointment</w:t>
      </w:r>
      <w:r w:rsidRPr="002258EA">
        <w:t xml:space="preserve"> requires a probationary </w:t>
      </w:r>
      <w:r>
        <w:t xml:space="preserve">appointment </w:t>
      </w:r>
      <w:r w:rsidRPr="002258EA">
        <w:t>period of six years of continuous academic service to the institution, during which the faculty member is evaluated at least annually according to an evaluation process designed to foster continuous improvement. The term may be extended beyond six years</w:t>
      </w:r>
      <w:r>
        <w:t>,</w:t>
      </w:r>
      <w:r w:rsidRPr="002258EA">
        <w:t xml:space="preserve"> or the continuous service requirement may be waived in exceptional circumstances. Institutions shall establish </w:t>
      </w:r>
      <w:r>
        <w:t xml:space="preserve">policies and </w:t>
      </w:r>
      <w:r w:rsidRPr="002258EA">
        <w:t xml:space="preserve">procedures for granting extensions or waivers of the continuous service requirement in exceptional circumstances, including maternity or parental leave and appropriate </w:t>
      </w:r>
      <w:proofErr w:type="gramStart"/>
      <w:r w:rsidRPr="002258EA">
        <w:t>accommodations</w:t>
      </w:r>
      <w:proofErr w:type="gramEnd"/>
      <w:r w:rsidRPr="002258EA">
        <w:t xml:space="preserve"> for faculty members with disabilities. Institution </w:t>
      </w:r>
      <w:r>
        <w:t xml:space="preserve">policies and </w:t>
      </w:r>
      <w:r w:rsidRPr="002258EA">
        <w:t>procedures may define additional exceptional circumstances including family emergencies or extended illness.</w:t>
      </w:r>
    </w:p>
    <w:p w14:paraId="6F3FF780" w14:textId="77777777" w:rsidR="00DF28D2" w:rsidRDefault="00DF28D2" w:rsidP="00B261E6">
      <w:pPr>
        <w:pStyle w:val="ListParagraph"/>
        <w:ind w:left="1080"/>
      </w:pPr>
    </w:p>
    <w:p w14:paraId="22281844" w14:textId="1BADED46" w:rsidR="00C45D39" w:rsidRPr="00066B99" w:rsidRDefault="00C45D39" w:rsidP="00B261E6">
      <w:pPr>
        <w:pStyle w:val="ListParagraph"/>
        <w:numPr>
          <w:ilvl w:val="1"/>
          <w:numId w:val="4"/>
        </w:numPr>
        <w:ind w:left="1080"/>
      </w:pPr>
      <w:r>
        <w:t>Tenured appointments recognize a</w:t>
      </w:r>
      <w:r w:rsidR="00F528A8">
        <w:t>n</w:t>
      </w:r>
      <w:r w:rsidR="00CE4F33">
        <w:t xml:space="preserve"> ex</w:t>
      </w:r>
      <w:r w:rsidR="008C4640">
        <w:t>pectation</w:t>
      </w:r>
      <w:r>
        <w:t xml:space="preserve">, subject to SBHE and institutional policies, to continuous academic year employment in an academic unit or program area as defined by an institution and stated on the contract. A probationary faculty </w:t>
      </w:r>
      <w:r>
        <w:lastRenderedPageBreak/>
        <w:t>member shall qualify to be recommended for a tenured appointment by satisfying the criteria for tenure developed in accordance with SBHE Policy 605.1(</w:t>
      </w:r>
      <w:r w:rsidR="00095E6E">
        <w:t>4</w:t>
      </w:r>
      <w:r>
        <w:t>)</w:t>
      </w:r>
      <w:r w:rsidR="000109F9">
        <w:t>(h)</w:t>
      </w:r>
      <w:r>
        <w:t>.</w:t>
      </w:r>
    </w:p>
    <w:p w14:paraId="7ACD96C3" w14:textId="564D19E1" w:rsidR="00526CC1" w:rsidRDefault="00C45D39" w:rsidP="00567657">
      <w:pPr>
        <w:pStyle w:val="ListParagraph"/>
        <w:numPr>
          <w:ilvl w:val="2"/>
          <w:numId w:val="4"/>
        </w:numPr>
        <w:ind w:left="1620"/>
      </w:pPr>
      <w:r w:rsidRPr="004C7D11">
        <w:t xml:space="preserve">The </w:t>
      </w:r>
      <w:r w:rsidR="00970A50">
        <w:t>SBHE</w:t>
      </w:r>
      <w:r w:rsidR="00970A50" w:rsidRPr="004C7D11">
        <w:t xml:space="preserve"> </w:t>
      </w:r>
      <w:r w:rsidRPr="004C7D11">
        <w:t>may</w:t>
      </w:r>
      <w:r w:rsidR="00A8269F">
        <w:t xml:space="preserve"> </w:t>
      </w:r>
      <w:r w:rsidR="0096144E" w:rsidRPr="0096144E">
        <w:t xml:space="preserve">award tenure under exceptional circumstances to any individual who has not met the eligibility of subdivision 5(a), provided that the individual </w:t>
      </w:r>
      <w:proofErr w:type="gramStart"/>
      <w:r w:rsidR="0096144E" w:rsidRPr="0096144E">
        <w:t>held</w:t>
      </w:r>
      <w:proofErr w:type="gramEnd"/>
      <w:r w:rsidR="0096144E" w:rsidRPr="0096144E">
        <w:t xml:space="preserve"> a tenured appointment at another institution. A tenure candidate under exceptional circumstances shall follow the review and </w:t>
      </w:r>
      <w:proofErr w:type="gramStart"/>
      <w:r w:rsidR="0096144E" w:rsidRPr="0096144E">
        <w:t>recommendation</w:t>
      </w:r>
      <w:proofErr w:type="gramEnd"/>
      <w:r w:rsidR="0096144E" w:rsidRPr="0096144E">
        <w:t xml:space="preserve"> made pursuant to the institutional policies and procedures.</w:t>
      </w:r>
    </w:p>
    <w:p w14:paraId="316CB5BD" w14:textId="77777777" w:rsidR="00567657" w:rsidRDefault="00567657" w:rsidP="00567657">
      <w:pPr>
        <w:pStyle w:val="ListParagraph"/>
        <w:ind w:left="1620"/>
      </w:pPr>
    </w:p>
    <w:p w14:paraId="1244D632" w14:textId="4F0F1F66" w:rsidR="00C45D39" w:rsidRDefault="00C45D39" w:rsidP="00567657">
      <w:pPr>
        <w:pStyle w:val="ListParagraph"/>
        <w:numPr>
          <w:ilvl w:val="1"/>
          <w:numId w:val="4"/>
        </w:numPr>
        <w:ind w:left="1080"/>
      </w:pPr>
      <w:r w:rsidRPr="003C59A8">
        <w:t xml:space="preserve">Tenure is awarded by the SBHE upon recommendation of the </w:t>
      </w:r>
      <w:r w:rsidR="00085E3E">
        <w:t>Commissioner</w:t>
      </w:r>
      <w:r w:rsidRPr="003C59A8">
        <w:t>, following review and recommendations made pursuant to the</w:t>
      </w:r>
      <w:r>
        <w:t xml:space="preserve"> policies and</w:t>
      </w:r>
      <w:r w:rsidRPr="003C59A8">
        <w:t xml:space="preserve"> procedures established at the institution and a recommendation by the institution's president to the </w:t>
      </w:r>
      <w:r w:rsidR="00085E3E">
        <w:t>Commissioner</w:t>
      </w:r>
      <w:r w:rsidRPr="003C59A8">
        <w:t xml:space="preserve">. A favorable recommendation means that the applicant meets the prerequisites and criteria and the award of tenure is consistent with the sound fiscal management and academic priorities of the institution and the system of education under the control of the SBHE. Tenure recommendations submitted to the SBHE shall include a brief summary of the candidate's qualifications and </w:t>
      </w:r>
      <w:r>
        <w:t>justifications</w:t>
      </w:r>
      <w:r w:rsidRPr="003C59A8">
        <w:t xml:space="preserve"> for the recommendation. Tenure is not an entitlement, and the granting of tenure requires an affirmative act by the SBHE. Tenure is limited to the academic unit or program area in the institution in which tenure is granted and shall not extend to an administrative or coaching position.</w:t>
      </w:r>
    </w:p>
    <w:p w14:paraId="3252CF3A" w14:textId="77777777" w:rsidR="0047486E" w:rsidRDefault="0047486E" w:rsidP="00567657">
      <w:pPr>
        <w:pStyle w:val="ListParagraph"/>
        <w:ind w:left="1080"/>
      </w:pPr>
    </w:p>
    <w:p w14:paraId="75DA0A16" w14:textId="61957B23" w:rsidR="00C45D39" w:rsidRPr="00B103C1" w:rsidRDefault="00822099" w:rsidP="00567657">
      <w:pPr>
        <w:pStyle w:val="ListParagraph"/>
        <w:numPr>
          <w:ilvl w:val="1"/>
          <w:numId w:val="4"/>
        </w:numPr>
        <w:ind w:left="1080"/>
      </w:pPr>
      <w:r>
        <w:t>The SBHE may award tenure to an institution’s chief executive officer if they have held a tenured appointment at another institution. If a chief executive officer who has been granted tenure resigns their position or is terminated without cause, that individual may request to exercise their right to retreat to a tenured faculty appointment, following the process set forth in Procedure 605.6. The compensation for such a tenured faculty appointment shall be commensurate with similar positions in the department or school, and such compensation shall be paid from the institution’s general funds, rather than a departmental budget.</w:t>
      </w:r>
    </w:p>
    <w:p w14:paraId="3C63E9A8" w14:textId="77777777" w:rsidR="0047486E" w:rsidRDefault="0047486E" w:rsidP="00567657">
      <w:pPr>
        <w:pStyle w:val="ListParagraph"/>
        <w:ind w:left="1080"/>
      </w:pPr>
    </w:p>
    <w:p w14:paraId="48C1EA99" w14:textId="6AFE9B42" w:rsidR="00C45D39" w:rsidRDefault="00C45D39" w:rsidP="00567657">
      <w:pPr>
        <w:pStyle w:val="ListParagraph"/>
        <w:numPr>
          <w:ilvl w:val="1"/>
          <w:numId w:val="4"/>
        </w:numPr>
        <w:ind w:left="1080"/>
      </w:pPr>
      <w:r>
        <w:t xml:space="preserve">The SBHE may award a tenure appointment to any individual who has not met the eligibility requirements of subdivisions </w:t>
      </w:r>
      <w:r w:rsidR="00C611F9">
        <w:t>4</w:t>
      </w:r>
      <w:r>
        <w:t>(</w:t>
      </w:r>
      <w:r w:rsidR="00C611F9">
        <w:t>h</w:t>
      </w:r>
      <w:r>
        <w:t>)</w:t>
      </w:r>
      <w:r w:rsidR="00C611F9">
        <w:t>(iii)</w:t>
      </w:r>
      <w:r>
        <w:t xml:space="preserve"> and </w:t>
      </w:r>
      <w:r w:rsidR="00C055B6">
        <w:t>6</w:t>
      </w:r>
      <w:r>
        <w:t>(</w:t>
      </w:r>
      <w:r w:rsidR="00C611F9">
        <w:t>a</w:t>
      </w:r>
      <w:r>
        <w:t xml:space="preserve">) of this policy in exceptional circumstances, defined by the institution's policies and procedures, following review and recommendation made pursuant to the policies and procedures established at an institution. The </w:t>
      </w:r>
      <w:proofErr w:type="gramStart"/>
      <w:r>
        <w:t>individual shall</w:t>
      </w:r>
      <w:proofErr w:type="gramEnd"/>
      <w:r>
        <w:t xml:space="preserve"> possess a documented record of outstanding achievement and consistent excellence in a discipline or profession gained through teaching, research, scholarly or professional activities, or service.</w:t>
      </w:r>
    </w:p>
    <w:p w14:paraId="3B5B053B" w14:textId="77777777" w:rsidR="0047486E" w:rsidRDefault="0047486E" w:rsidP="00FC5049">
      <w:pPr>
        <w:pStyle w:val="ListParagraph"/>
        <w:ind w:left="1440"/>
      </w:pPr>
    </w:p>
    <w:p w14:paraId="5251CC1E" w14:textId="77777777" w:rsidR="00C45D39" w:rsidRDefault="00C45D39" w:rsidP="002F1BFC">
      <w:pPr>
        <w:pStyle w:val="ListParagraph"/>
        <w:numPr>
          <w:ilvl w:val="0"/>
          <w:numId w:val="4"/>
        </w:numPr>
        <w:ind w:left="360"/>
      </w:pPr>
      <w:r>
        <w:t>Special Appointments</w:t>
      </w:r>
    </w:p>
    <w:p w14:paraId="27108141" w14:textId="34098880" w:rsidR="00C45D39" w:rsidRDefault="00C45D39" w:rsidP="00236915">
      <w:pPr>
        <w:pStyle w:val="ListParagraph"/>
        <w:numPr>
          <w:ilvl w:val="1"/>
          <w:numId w:val="4"/>
        </w:numPr>
        <w:ind w:left="1170"/>
      </w:pPr>
      <w:r w:rsidRPr="00434479">
        <w:t>Special appointments</w:t>
      </w:r>
      <w:r w:rsidR="00933806">
        <w:t xml:space="preserve"> </w:t>
      </w:r>
      <w:r w:rsidR="00AB61AF">
        <w:t>can be</w:t>
      </w:r>
      <w:r w:rsidR="00933806">
        <w:t xml:space="preserve"> part-time </w:t>
      </w:r>
      <w:r w:rsidR="00AB61AF">
        <w:t>or</w:t>
      </w:r>
      <w:r w:rsidR="00933806">
        <w:t xml:space="preserve"> full-time</w:t>
      </w:r>
      <w:r w:rsidR="00771341">
        <w:t>.</w:t>
      </w:r>
      <w:r w:rsidR="00933806">
        <w:t xml:space="preserve"> </w:t>
      </w:r>
      <w:r w:rsidRPr="00434479">
        <w:t>Special appointments are all appointments except tenured or probationary appointments, including:</w:t>
      </w:r>
    </w:p>
    <w:p w14:paraId="3F3B52BC" w14:textId="77777777" w:rsidR="00C45D39" w:rsidRDefault="00C45D39" w:rsidP="00236915">
      <w:pPr>
        <w:pStyle w:val="ListParagraph"/>
        <w:numPr>
          <w:ilvl w:val="2"/>
          <w:numId w:val="4"/>
        </w:numPr>
        <w:ind w:left="1620"/>
      </w:pPr>
      <w:r w:rsidRPr="004F466B">
        <w:t xml:space="preserve">Courtesy adjunct appointments awarded in accordance with SBHE policy to professional people who contribute to the academic or research program of the </w:t>
      </w:r>
      <w:proofErr w:type="gramStart"/>
      <w:r w:rsidRPr="004F466B">
        <w:t>institution;</w:t>
      </w:r>
      <w:proofErr w:type="gramEnd"/>
    </w:p>
    <w:p w14:paraId="2A1DA89A" w14:textId="77777777" w:rsidR="007C0BC8" w:rsidRDefault="007C0BC8" w:rsidP="007C0BC8">
      <w:pPr>
        <w:pStyle w:val="ListParagraph"/>
        <w:ind w:left="1620"/>
      </w:pPr>
    </w:p>
    <w:p w14:paraId="61E1D202" w14:textId="77777777" w:rsidR="00C45D39" w:rsidRDefault="00C45D39" w:rsidP="00236915">
      <w:pPr>
        <w:pStyle w:val="ListParagraph"/>
        <w:numPr>
          <w:ilvl w:val="2"/>
          <w:numId w:val="4"/>
        </w:numPr>
        <w:ind w:left="1620"/>
      </w:pPr>
      <w:r w:rsidRPr="000F0B2F">
        <w:lastRenderedPageBreak/>
        <w:t xml:space="preserve">Visiting appointments for people holding academic rank at another institution of higher </w:t>
      </w:r>
      <w:proofErr w:type="gramStart"/>
      <w:r w:rsidRPr="000F0B2F">
        <w:t>education;</w:t>
      </w:r>
      <w:proofErr w:type="gramEnd"/>
    </w:p>
    <w:p w14:paraId="75DE7B11" w14:textId="77777777" w:rsidR="0047486E" w:rsidRDefault="0047486E" w:rsidP="00236915">
      <w:pPr>
        <w:pStyle w:val="ListParagraph"/>
        <w:ind w:left="1620"/>
      </w:pPr>
    </w:p>
    <w:p w14:paraId="2F427D28" w14:textId="77777777" w:rsidR="00C45D39" w:rsidRDefault="00C45D39" w:rsidP="00236915">
      <w:pPr>
        <w:pStyle w:val="ListParagraph"/>
        <w:numPr>
          <w:ilvl w:val="2"/>
          <w:numId w:val="4"/>
        </w:numPr>
        <w:ind w:left="1620"/>
      </w:pPr>
      <w:r w:rsidRPr="006923EF">
        <w:t xml:space="preserve">Appointments of retired faculty members on special </w:t>
      </w:r>
      <w:proofErr w:type="gramStart"/>
      <w:r w:rsidRPr="006923EF">
        <w:t>conditions;</w:t>
      </w:r>
      <w:proofErr w:type="gramEnd"/>
    </w:p>
    <w:p w14:paraId="4D4BCF7C" w14:textId="77777777" w:rsidR="0047486E" w:rsidRDefault="0047486E" w:rsidP="00236915">
      <w:pPr>
        <w:pStyle w:val="ListParagraph"/>
        <w:ind w:left="1620"/>
      </w:pPr>
    </w:p>
    <w:p w14:paraId="24C8269F" w14:textId="77777777" w:rsidR="00C45D39" w:rsidRDefault="00C45D39" w:rsidP="00236915">
      <w:pPr>
        <w:pStyle w:val="ListParagraph"/>
        <w:numPr>
          <w:ilvl w:val="2"/>
          <w:numId w:val="4"/>
        </w:numPr>
        <w:ind w:left="1620"/>
      </w:pPr>
      <w:r w:rsidRPr="008C3383">
        <w:t xml:space="preserve">Initial appointments supported wholly or partially by other than state </w:t>
      </w:r>
      <w:proofErr w:type="gramStart"/>
      <w:r w:rsidRPr="008C3383">
        <w:t>appropriated</w:t>
      </w:r>
      <w:proofErr w:type="gramEnd"/>
      <w:r w:rsidRPr="008C3383">
        <w:t xml:space="preserve"> </w:t>
      </w:r>
      <w:proofErr w:type="gramStart"/>
      <w:r w:rsidRPr="008C3383">
        <w:t>funds;</w:t>
      </w:r>
      <w:proofErr w:type="gramEnd"/>
    </w:p>
    <w:p w14:paraId="0F92C0E4" w14:textId="77777777" w:rsidR="0047486E" w:rsidRDefault="0047486E" w:rsidP="00236915">
      <w:pPr>
        <w:pStyle w:val="ListParagraph"/>
        <w:ind w:left="1620"/>
      </w:pPr>
    </w:p>
    <w:p w14:paraId="2D7E795B" w14:textId="77777777" w:rsidR="00C45D39" w:rsidRDefault="00C45D39" w:rsidP="00236915">
      <w:pPr>
        <w:pStyle w:val="ListParagraph"/>
        <w:numPr>
          <w:ilvl w:val="2"/>
          <w:numId w:val="4"/>
        </w:numPr>
        <w:ind w:left="1620"/>
      </w:pPr>
      <w:r w:rsidRPr="00D13206">
        <w:t xml:space="preserve">Appointments clearly limited to a brief association with the institution, as defined by the </w:t>
      </w:r>
      <w:proofErr w:type="gramStart"/>
      <w:r w:rsidRPr="00D13206">
        <w:t>institution;</w:t>
      </w:r>
      <w:proofErr w:type="gramEnd"/>
    </w:p>
    <w:p w14:paraId="5476C0E0" w14:textId="77777777" w:rsidR="00737798" w:rsidRDefault="00737798" w:rsidP="00236915">
      <w:pPr>
        <w:pStyle w:val="ListParagraph"/>
        <w:ind w:left="1620"/>
      </w:pPr>
    </w:p>
    <w:p w14:paraId="6802587F" w14:textId="77777777" w:rsidR="00C45D39" w:rsidRDefault="00C45D39" w:rsidP="00236915">
      <w:pPr>
        <w:pStyle w:val="ListParagraph"/>
        <w:numPr>
          <w:ilvl w:val="2"/>
          <w:numId w:val="4"/>
        </w:numPr>
        <w:ind w:left="1620"/>
      </w:pPr>
      <w:r w:rsidRPr="00DC1107">
        <w:t xml:space="preserve">Terminal appointments given with notice of nonrenewal to faculty members who were previously on probationary </w:t>
      </w:r>
      <w:proofErr w:type="gramStart"/>
      <w:r w:rsidRPr="00DC1107">
        <w:t>appointment</w:t>
      </w:r>
      <w:proofErr w:type="gramEnd"/>
      <w:r w:rsidRPr="00DC1107">
        <w:t xml:space="preserve">. A terminal appointment with notice of nonrenewal must be given to a faculty member no later than the end of the sixth year of probationary appointment if the decision is made to deny </w:t>
      </w:r>
      <w:proofErr w:type="gramStart"/>
      <w:r w:rsidRPr="00DC1107">
        <w:t>tenure;</w:t>
      </w:r>
      <w:proofErr w:type="gramEnd"/>
    </w:p>
    <w:p w14:paraId="60709595" w14:textId="77777777" w:rsidR="00737798" w:rsidRDefault="00737798" w:rsidP="00236915">
      <w:pPr>
        <w:pStyle w:val="ListParagraph"/>
        <w:ind w:left="1620"/>
      </w:pPr>
    </w:p>
    <w:p w14:paraId="3F328F86" w14:textId="77777777" w:rsidR="00C45D39" w:rsidRDefault="00C45D39" w:rsidP="00236915">
      <w:pPr>
        <w:pStyle w:val="ListParagraph"/>
        <w:numPr>
          <w:ilvl w:val="2"/>
          <w:numId w:val="4"/>
        </w:numPr>
        <w:ind w:left="1620"/>
      </w:pPr>
      <w:r w:rsidRPr="006E47E4">
        <w:t xml:space="preserve">Lectureship appointments, which shall be for performance of specifically assigned academic duties only, without general faculty </w:t>
      </w:r>
      <w:proofErr w:type="gramStart"/>
      <w:r w:rsidRPr="006E47E4">
        <w:t>responsibilities;</w:t>
      </w:r>
      <w:proofErr w:type="gramEnd"/>
    </w:p>
    <w:p w14:paraId="31B725DB" w14:textId="77777777" w:rsidR="00737798" w:rsidRDefault="00737798" w:rsidP="00236915">
      <w:pPr>
        <w:pStyle w:val="ListParagraph"/>
        <w:ind w:left="1620"/>
      </w:pPr>
    </w:p>
    <w:p w14:paraId="11B8F05C" w14:textId="77777777" w:rsidR="00C45D39" w:rsidRDefault="00C45D39" w:rsidP="00236915">
      <w:pPr>
        <w:pStyle w:val="ListParagraph"/>
        <w:numPr>
          <w:ilvl w:val="2"/>
          <w:numId w:val="4"/>
        </w:numPr>
        <w:ind w:left="1620"/>
      </w:pPr>
      <w:r w:rsidRPr="00D619AE">
        <w:t xml:space="preserve">Graduate teaching assistant </w:t>
      </w:r>
      <w:proofErr w:type="gramStart"/>
      <w:r w:rsidRPr="00D619AE">
        <w:t>appointments;</w:t>
      </w:r>
      <w:proofErr w:type="gramEnd"/>
    </w:p>
    <w:p w14:paraId="6AA6DF3B" w14:textId="77777777" w:rsidR="00737798" w:rsidRPr="00D619AE" w:rsidRDefault="00737798" w:rsidP="00236915">
      <w:pPr>
        <w:pStyle w:val="ListParagraph"/>
        <w:ind w:left="1620"/>
      </w:pPr>
    </w:p>
    <w:p w14:paraId="7EE9A361" w14:textId="77777777" w:rsidR="00C45D39" w:rsidRDefault="00C45D39" w:rsidP="00236915">
      <w:pPr>
        <w:pStyle w:val="ListParagraph"/>
        <w:numPr>
          <w:ilvl w:val="2"/>
          <w:numId w:val="4"/>
        </w:numPr>
        <w:ind w:left="1620"/>
      </w:pPr>
      <w:r w:rsidRPr="002B6A60">
        <w:t>Postdoctoral fellowships and clinical appointments; and</w:t>
      </w:r>
    </w:p>
    <w:p w14:paraId="35E7F36E" w14:textId="77777777" w:rsidR="00737798" w:rsidRDefault="00737798" w:rsidP="00236915">
      <w:pPr>
        <w:pStyle w:val="ListParagraph"/>
        <w:ind w:left="1620"/>
      </w:pPr>
    </w:p>
    <w:p w14:paraId="1E9F514B" w14:textId="1AA91F88" w:rsidR="00C45D39" w:rsidRDefault="00C45D39" w:rsidP="00236915">
      <w:pPr>
        <w:pStyle w:val="ListParagraph"/>
        <w:numPr>
          <w:ilvl w:val="2"/>
          <w:numId w:val="4"/>
        </w:numPr>
        <w:ind w:left="1620"/>
      </w:pPr>
      <w:r w:rsidRPr="009821BE">
        <w:t xml:space="preserve">Other faculty appointments, not probationary or tenured, are designed to help fulfill the institution's mission or meet long-term needs. The appointments shall be subject to an agreement describing the faculty </w:t>
      </w:r>
      <w:proofErr w:type="gramStart"/>
      <w:r w:rsidRPr="009821BE">
        <w:t>member's</w:t>
      </w:r>
      <w:proofErr w:type="gramEnd"/>
      <w:r w:rsidRPr="009821BE">
        <w:t xml:space="preserve"> duties and goals, criteria</w:t>
      </w:r>
      <w:r>
        <w:t>,</w:t>
      </w:r>
      <w:r w:rsidRPr="009821BE">
        <w:t xml:space="preserve"> and weight distribution for evaluation criteria. The term of an appointment and agreement, or renewal thereof, may not exceed three years. The faculty member's performance and achievement of goals shall be evaluated during the final year of an appointment. An appointment may be renewed only if the </w:t>
      </w:r>
      <w:r>
        <w:t xml:space="preserve">appointee’s </w:t>
      </w:r>
      <w:r w:rsidRPr="009821BE">
        <w:t>evaluation demonstrates satisfactory performance.</w:t>
      </w:r>
    </w:p>
    <w:p w14:paraId="5098180D" w14:textId="77777777" w:rsidR="0096321E" w:rsidRDefault="0096321E" w:rsidP="00A92DAC">
      <w:pPr>
        <w:pStyle w:val="ListParagraph"/>
      </w:pPr>
    </w:p>
    <w:p w14:paraId="6B4852A9" w14:textId="633FB17C" w:rsidR="0096321E" w:rsidRDefault="00475087">
      <w:pPr>
        <w:pStyle w:val="ListParagraph"/>
        <w:numPr>
          <w:ilvl w:val="1"/>
          <w:numId w:val="4"/>
        </w:numPr>
        <w:ind w:left="1080"/>
      </w:pPr>
      <w:r w:rsidRPr="00754CA3">
        <w:t xml:space="preserve">Institutions may </w:t>
      </w:r>
      <w:r w:rsidR="002819B8" w:rsidRPr="00754CA3">
        <w:t>use</w:t>
      </w:r>
      <w:r w:rsidR="009556DA" w:rsidRPr="00754CA3">
        <w:t xml:space="preserve"> job</w:t>
      </w:r>
      <w:r w:rsidR="002819B8" w:rsidRPr="00754CA3">
        <w:t xml:space="preserve"> titles for faculty with special appointments that recognize faculty members’ </w:t>
      </w:r>
      <w:r w:rsidR="00CE14C1" w:rsidRPr="00754CA3">
        <w:t>longevity</w:t>
      </w:r>
      <w:r w:rsidR="00CA561C" w:rsidRPr="00754CA3">
        <w:t xml:space="preserve">, </w:t>
      </w:r>
      <w:r w:rsidR="000C25A5" w:rsidRPr="00754CA3">
        <w:t xml:space="preserve">work </w:t>
      </w:r>
      <w:r w:rsidR="00CA561C" w:rsidRPr="00754CA3">
        <w:t xml:space="preserve">experience, </w:t>
      </w:r>
      <w:r w:rsidR="004925FB">
        <w:t>and/</w:t>
      </w:r>
      <w:r w:rsidR="00CA561C" w:rsidRPr="00754CA3">
        <w:t>or expertise in their field of study.</w:t>
      </w:r>
    </w:p>
    <w:p w14:paraId="412697AC" w14:textId="77777777" w:rsidR="00A071E2" w:rsidRDefault="00A071E2" w:rsidP="00A92DAC">
      <w:pPr>
        <w:pStyle w:val="ListParagraph"/>
      </w:pPr>
    </w:p>
    <w:p w14:paraId="584C7A55" w14:textId="3B54D971" w:rsidR="00F80250" w:rsidRPr="00754CA3" w:rsidRDefault="00A071E2" w:rsidP="00A92DAC">
      <w:pPr>
        <w:pStyle w:val="ListParagraph"/>
        <w:numPr>
          <w:ilvl w:val="0"/>
          <w:numId w:val="4"/>
        </w:numPr>
        <w:ind w:left="360"/>
      </w:pPr>
      <w:r>
        <w:t>The Commissioner may adopt procedures to implement this policy.</w:t>
      </w:r>
    </w:p>
    <w:p w14:paraId="5F1E55D9" w14:textId="749CAAEE" w:rsidR="00326F17" w:rsidRPr="004C7D11" w:rsidRDefault="00326F17" w:rsidP="00681621">
      <w:pPr>
        <w:tabs>
          <w:tab w:val="left" w:pos="360"/>
        </w:tabs>
        <w:ind w:left="360" w:hanging="360"/>
      </w:pPr>
    </w:p>
    <w:p w14:paraId="1A14B324" w14:textId="73419120" w:rsidR="00D33C8F" w:rsidRPr="004C7D11" w:rsidRDefault="00737798" w:rsidP="00A92DAC">
      <w:pPr>
        <w:rPr>
          <w:b/>
          <w:bCs/>
        </w:rPr>
      </w:pPr>
      <w:r w:rsidRPr="00FC5049">
        <w:rPr>
          <w:b/>
          <w:bCs/>
        </w:rPr>
        <w:t>REFERENCES</w:t>
      </w:r>
      <w:r w:rsidR="00F54224" w:rsidRPr="00FC5049">
        <w:rPr>
          <w:b/>
          <w:bCs/>
        </w:rPr>
        <w:t>:</w:t>
      </w:r>
      <w:r w:rsidR="00F54224">
        <w:t xml:space="preserve"> </w:t>
      </w:r>
      <w:r w:rsidR="00D33C8F" w:rsidRPr="004C7D11">
        <w:rPr>
          <w:bCs/>
        </w:rPr>
        <w:t>SBHE Polic</w:t>
      </w:r>
      <w:r w:rsidR="00EF434B">
        <w:rPr>
          <w:bCs/>
        </w:rPr>
        <w:t>ies</w:t>
      </w:r>
      <w:r w:rsidR="00D33C8F" w:rsidRPr="004C7D11">
        <w:rPr>
          <w:bCs/>
        </w:rPr>
        <w:t xml:space="preserve"> 305.1, 401.1</w:t>
      </w:r>
      <w:r w:rsidR="006D127B">
        <w:rPr>
          <w:bCs/>
        </w:rPr>
        <w:t>, 605.2</w:t>
      </w:r>
      <w:r w:rsidR="0083425C">
        <w:rPr>
          <w:bCs/>
        </w:rPr>
        <w:t>, 605.3,</w:t>
      </w:r>
      <w:r w:rsidR="00D33C8F" w:rsidRPr="004C7D11">
        <w:rPr>
          <w:bCs/>
        </w:rPr>
        <w:t xml:space="preserve"> 605.4; NDUS Procedure</w:t>
      </w:r>
      <w:r w:rsidR="00A92DAC">
        <w:rPr>
          <w:bCs/>
        </w:rPr>
        <w:t>s</w:t>
      </w:r>
      <w:r w:rsidR="00D33C8F" w:rsidRPr="004C7D11">
        <w:rPr>
          <w:bCs/>
        </w:rPr>
        <w:t xml:space="preserve"> 605.1</w:t>
      </w:r>
      <w:r w:rsidR="00A92DAC">
        <w:rPr>
          <w:bCs/>
        </w:rPr>
        <w:t>, 605.6</w:t>
      </w:r>
    </w:p>
    <w:p w14:paraId="6F05B94D" w14:textId="77777777" w:rsidR="00D33C8F" w:rsidRPr="004C7D11" w:rsidRDefault="00D33C8F" w:rsidP="00A92DAC">
      <w:pPr>
        <w:rPr>
          <w:b/>
          <w:bCs/>
        </w:rPr>
      </w:pPr>
    </w:p>
    <w:p w14:paraId="5F1E55DF" w14:textId="1DADAAF7" w:rsidR="004A2F92" w:rsidRPr="004C7D11" w:rsidRDefault="00737798" w:rsidP="00A92DAC">
      <w:r w:rsidRPr="00FC5049">
        <w:rPr>
          <w:b/>
          <w:bCs/>
        </w:rPr>
        <w:t>HISTORY</w:t>
      </w:r>
      <w:r w:rsidR="00F54224" w:rsidRPr="00FC5049">
        <w:rPr>
          <w:b/>
          <w:bCs/>
        </w:rPr>
        <w:t>:</w:t>
      </w:r>
      <w:r w:rsidR="00D33C8F" w:rsidRPr="004C7D11">
        <w:rPr>
          <w:b/>
          <w:bCs/>
        </w:rPr>
        <w:t xml:space="preserve"> </w:t>
      </w:r>
      <w:r w:rsidR="00326F17" w:rsidRPr="004C7D11">
        <w:t xml:space="preserve">Replaces portions of Policy 605, SBHE </w:t>
      </w:r>
      <w:r w:rsidR="008856D7">
        <w:t xml:space="preserve">Meeting </w:t>
      </w:r>
      <w:r w:rsidR="00F54224">
        <w:t>m</w:t>
      </w:r>
      <w:r w:rsidR="00326F17" w:rsidRPr="004C7D11">
        <w:t>inutes April 25, 1995</w:t>
      </w:r>
      <w:r w:rsidR="00D33C8F" w:rsidRPr="004C7D11">
        <w:t xml:space="preserve">; </w:t>
      </w:r>
      <w:r w:rsidR="00F54224">
        <w:t>Amend</w:t>
      </w:r>
      <w:r w:rsidR="007C0BC8">
        <w:t>ment</w:t>
      </w:r>
      <w:r w:rsidR="00D33C8F" w:rsidRPr="004C7D11">
        <w:t>,</w:t>
      </w:r>
      <w:r w:rsidR="00326F17" w:rsidRPr="004C7D11">
        <w:t xml:space="preserve"> SBHE </w:t>
      </w:r>
      <w:r w:rsidR="008856D7">
        <w:t xml:space="preserve">Meeting </w:t>
      </w:r>
      <w:r w:rsidR="00D33C8F" w:rsidRPr="004C7D11">
        <w:t>m</w:t>
      </w:r>
      <w:r w:rsidR="00326F17" w:rsidRPr="004C7D11">
        <w:t>inutes, September 19, 1996</w:t>
      </w:r>
      <w:r w:rsidR="00D33C8F" w:rsidRPr="004C7D11">
        <w:t xml:space="preserve">; </w:t>
      </w:r>
      <w:r w:rsidR="007C0BC8">
        <w:t>Amendment</w:t>
      </w:r>
      <w:r w:rsidR="00D33C8F" w:rsidRPr="004C7D11">
        <w:t>,</w:t>
      </w:r>
      <w:r w:rsidR="00326F17" w:rsidRPr="004C7D11">
        <w:t xml:space="preserve"> SBHE </w:t>
      </w:r>
      <w:r w:rsidR="008856D7">
        <w:t xml:space="preserve">Meeting </w:t>
      </w:r>
      <w:r w:rsidR="00D33C8F" w:rsidRPr="004C7D11">
        <w:t>m</w:t>
      </w:r>
      <w:r w:rsidR="00326F17" w:rsidRPr="004C7D11">
        <w:t>inutes, February 17-18, 2000</w:t>
      </w:r>
      <w:r w:rsidR="00D33C8F" w:rsidRPr="004C7D11">
        <w:t xml:space="preserve">; </w:t>
      </w:r>
      <w:r w:rsidR="007C0BC8">
        <w:t>Amendment</w:t>
      </w:r>
      <w:r w:rsidR="00D33C8F" w:rsidRPr="004C7D11">
        <w:t>,</w:t>
      </w:r>
      <w:r w:rsidR="00326F17" w:rsidRPr="004C7D11">
        <w:t xml:space="preserve"> SBHE </w:t>
      </w:r>
      <w:r w:rsidR="008856D7">
        <w:t xml:space="preserve">Meeting </w:t>
      </w:r>
      <w:r w:rsidR="00D33C8F" w:rsidRPr="004C7D11">
        <w:t>m</w:t>
      </w:r>
      <w:r w:rsidR="00326F17" w:rsidRPr="004C7D11">
        <w:t>inutes, May 30, 2001</w:t>
      </w:r>
      <w:r w:rsidR="00D33C8F" w:rsidRPr="004C7D11">
        <w:t xml:space="preserve">; </w:t>
      </w:r>
      <w:r w:rsidR="007C0BC8">
        <w:t>Amendment</w:t>
      </w:r>
      <w:r w:rsidR="00D33C8F" w:rsidRPr="004C7D11">
        <w:t>,</w:t>
      </w:r>
      <w:r w:rsidR="00326F17" w:rsidRPr="004C7D11">
        <w:t xml:space="preserve"> SBHE </w:t>
      </w:r>
      <w:r w:rsidR="008856D7">
        <w:t xml:space="preserve">Meeting </w:t>
      </w:r>
      <w:r w:rsidR="00D33C8F" w:rsidRPr="004C7D11">
        <w:t>m</w:t>
      </w:r>
      <w:r w:rsidR="00326F17" w:rsidRPr="004C7D11">
        <w:t>inutes, November 16, 2001</w:t>
      </w:r>
      <w:r w:rsidR="00D33C8F" w:rsidRPr="004C7D11">
        <w:t xml:space="preserve">; </w:t>
      </w:r>
      <w:r w:rsidR="007C0BC8">
        <w:t>Amendment</w:t>
      </w:r>
      <w:r w:rsidR="00D33C8F" w:rsidRPr="004C7D11">
        <w:t>,</w:t>
      </w:r>
      <w:r w:rsidR="00D37B06" w:rsidRPr="004C7D11">
        <w:t xml:space="preserve"> SBHE </w:t>
      </w:r>
      <w:r w:rsidR="008856D7">
        <w:t xml:space="preserve">Meeting </w:t>
      </w:r>
      <w:r w:rsidR="00D33C8F" w:rsidRPr="004C7D11">
        <w:t>m</w:t>
      </w:r>
      <w:r w:rsidR="00D37B06" w:rsidRPr="004C7D11">
        <w:t>inutes, March 19, 2009</w:t>
      </w:r>
      <w:r w:rsidR="00D33C8F" w:rsidRPr="004C7D11">
        <w:t xml:space="preserve">; </w:t>
      </w:r>
      <w:r w:rsidR="007C0BC8">
        <w:t>Amendment</w:t>
      </w:r>
      <w:r w:rsidR="00D33C8F" w:rsidRPr="004C7D11">
        <w:t>,</w:t>
      </w:r>
      <w:r w:rsidR="004A2F92" w:rsidRPr="004C7D11">
        <w:t xml:space="preserve"> SBHE </w:t>
      </w:r>
      <w:r w:rsidR="00AC341C">
        <w:t xml:space="preserve">Meeting </w:t>
      </w:r>
      <w:r w:rsidR="00D33C8F" w:rsidRPr="004C7D11">
        <w:t>m</w:t>
      </w:r>
      <w:r w:rsidR="004A2F92" w:rsidRPr="004C7D11">
        <w:t>inutes, June 16, 2011</w:t>
      </w:r>
      <w:r w:rsidR="007460BB">
        <w:t xml:space="preserve">; Revised by </w:t>
      </w:r>
      <w:r w:rsidR="007460BB">
        <w:lastRenderedPageBreak/>
        <w:t xml:space="preserve">legal, July 16, 2018; </w:t>
      </w:r>
      <w:r w:rsidR="007C0BC8">
        <w:t>Amendment</w:t>
      </w:r>
      <w:r w:rsidR="007460BB">
        <w:t xml:space="preserve">, SBHE </w:t>
      </w:r>
      <w:r w:rsidR="00AC341C">
        <w:t xml:space="preserve">Meeting </w:t>
      </w:r>
      <w:r w:rsidR="007460BB">
        <w:t>minutes, December 6, 2018</w:t>
      </w:r>
      <w:r w:rsidR="00F54224">
        <w:t xml:space="preserve">; </w:t>
      </w:r>
      <w:r w:rsidR="007C0BC8">
        <w:t>Amendment</w:t>
      </w:r>
      <w:r w:rsidR="00F54224">
        <w:t xml:space="preserve">, SBHE </w:t>
      </w:r>
      <w:r w:rsidR="00AC341C">
        <w:t xml:space="preserve">Meeting </w:t>
      </w:r>
      <w:r w:rsidR="00F54224">
        <w:t>minutes, October 24, 2019</w:t>
      </w:r>
      <w:r w:rsidR="000E589C">
        <w:t xml:space="preserve">; </w:t>
      </w:r>
      <w:r w:rsidR="007C0BC8">
        <w:t>Amendment</w:t>
      </w:r>
      <w:r w:rsidR="000E589C">
        <w:t xml:space="preserve">, SBHE </w:t>
      </w:r>
      <w:r w:rsidR="00AC341C">
        <w:t xml:space="preserve">Meeting </w:t>
      </w:r>
      <w:r w:rsidR="000E589C">
        <w:t xml:space="preserve">minutes, </w:t>
      </w:r>
      <w:r w:rsidR="00B86D48">
        <w:t>March 31, 2022</w:t>
      </w:r>
      <w:r w:rsidR="0083425C">
        <w:t>; Amendment, SBHE Meeting minutes, December 10, 2024</w:t>
      </w:r>
      <w:r w:rsidR="007C0BC8">
        <w:t>; Amendment, SBHE Meeting minutes, September 23, 2025</w:t>
      </w:r>
      <w:r w:rsidR="14634896">
        <w:t>; Amendment, SBHE Meeting minutes, October 30, 2025</w:t>
      </w:r>
      <w:r w:rsidR="00A92DAC">
        <w:t>; Amendment, SBHE Meeting minutes, February 26, 2026</w:t>
      </w:r>
      <w:r w:rsidR="004A2F92">
        <w:t>.</w:t>
      </w:r>
    </w:p>
    <w:p w14:paraId="5F1E55E0" w14:textId="77777777" w:rsidR="006B1D01" w:rsidRPr="004C7D11" w:rsidRDefault="006B1D01" w:rsidP="00681621"/>
    <w:sectPr w:rsidR="006B1D01" w:rsidRPr="004C7D11">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D148" w14:textId="77777777" w:rsidR="003A0720" w:rsidRDefault="003A0720" w:rsidP="00B86D48">
      <w:r>
        <w:separator/>
      </w:r>
    </w:p>
  </w:endnote>
  <w:endnote w:type="continuationSeparator" w:id="0">
    <w:p w14:paraId="6578F2A2" w14:textId="77777777" w:rsidR="003A0720" w:rsidRDefault="003A0720" w:rsidP="00B86D48">
      <w:r>
        <w:continuationSeparator/>
      </w:r>
    </w:p>
  </w:endnote>
  <w:endnote w:type="continuationNotice" w:id="1">
    <w:p w14:paraId="0184FD23" w14:textId="77777777" w:rsidR="003A0720" w:rsidRDefault="003A0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575383"/>
      <w:docPartObj>
        <w:docPartGallery w:val="Page Numbers (Bottom of Page)"/>
        <w:docPartUnique/>
      </w:docPartObj>
    </w:sdtPr>
    <w:sdtEndPr>
      <w:rPr>
        <w:noProof/>
      </w:rPr>
    </w:sdtEndPr>
    <w:sdtContent>
      <w:p w14:paraId="5480C8AE" w14:textId="52DEC3BB" w:rsidR="00B86D48" w:rsidRDefault="00B86D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6A943" w14:textId="77777777" w:rsidR="00B86D48" w:rsidRDefault="00B8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7992" w14:textId="77777777" w:rsidR="003A0720" w:rsidRDefault="003A0720" w:rsidP="00B86D48">
      <w:r>
        <w:separator/>
      </w:r>
    </w:p>
  </w:footnote>
  <w:footnote w:type="continuationSeparator" w:id="0">
    <w:p w14:paraId="5CB36A56" w14:textId="77777777" w:rsidR="003A0720" w:rsidRDefault="003A0720" w:rsidP="00B86D48">
      <w:r>
        <w:continuationSeparator/>
      </w:r>
    </w:p>
  </w:footnote>
  <w:footnote w:type="continuationNotice" w:id="1">
    <w:p w14:paraId="1B7DA472" w14:textId="77777777" w:rsidR="003A0720" w:rsidRDefault="003A07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E2F"/>
    <w:multiLevelType w:val="multilevel"/>
    <w:tmpl w:val="BAC8FE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5A6830"/>
    <w:multiLevelType w:val="hybridMultilevel"/>
    <w:tmpl w:val="5A68D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11D9A"/>
    <w:multiLevelType w:val="hybridMultilevel"/>
    <w:tmpl w:val="4CB41786"/>
    <w:lvl w:ilvl="0" w:tplc="B98A5538">
      <w:start w:val="1"/>
      <w:numFmt w:val="decimal"/>
      <w:lvlText w:val="%1."/>
      <w:lvlJc w:val="left"/>
      <w:pPr>
        <w:tabs>
          <w:tab w:val="num" w:pos="360"/>
        </w:tabs>
        <w:ind w:left="360" w:hanging="360"/>
      </w:pPr>
      <w:rPr>
        <w:color w:val="auto"/>
      </w:rPr>
    </w:lvl>
    <w:lvl w:ilvl="1" w:tplc="41524840">
      <w:start w:val="1"/>
      <w:numFmt w:val="lowerLetter"/>
      <w:lvlText w:val="%2."/>
      <w:lvlJc w:val="left"/>
      <w:pPr>
        <w:tabs>
          <w:tab w:val="num" w:pos="1080"/>
        </w:tabs>
        <w:ind w:left="1080" w:hanging="360"/>
      </w:pPr>
    </w:lvl>
    <w:lvl w:ilvl="2" w:tplc="12F0F486">
      <w:start w:val="1"/>
      <w:numFmt w:val="lowerRoman"/>
      <w:lvlText w:val="%3."/>
      <w:lvlJc w:val="right"/>
      <w:pPr>
        <w:tabs>
          <w:tab w:val="num" w:pos="1800"/>
        </w:tabs>
        <w:ind w:left="1800" w:hanging="360"/>
      </w:pPr>
    </w:lvl>
    <w:lvl w:ilvl="3" w:tplc="04090017">
      <w:start w:val="1"/>
      <w:numFmt w:val="lowerLetter"/>
      <w:lvlText w:val="%4)"/>
      <w:lvlJc w:val="left"/>
      <w:pPr>
        <w:tabs>
          <w:tab w:val="num" w:pos="2520"/>
        </w:tabs>
        <w:ind w:left="2520" w:hanging="360"/>
      </w:pPr>
    </w:lvl>
    <w:lvl w:ilvl="4" w:tplc="11A078C0">
      <w:start w:val="1"/>
      <w:numFmt w:val="decimal"/>
      <w:lvlText w:val="%5."/>
      <w:lvlJc w:val="left"/>
      <w:pPr>
        <w:tabs>
          <w:tab w:val="num" w:pos="3240"/>
        </w:tabs>
        <w:ind w:left="3240" w:hanging="360"/>
      </w:pPr>
    </w:lvl>
    <w:lvl w:ilvl="5" w:tplc="BC14D01A">
      <w:start w:val="1"/>
      <w:numFmt w:val="decimal"/>
      <w:lvlText w:val="%6."/>
      <w:lvlJc w:val="left"/>
      <w:pPr>
        <w:tabs>
          <w:tab w:val="num" w:pos="3960"/>
        </w:tabs>
        <w:ind w:left="3960" w:hanging="360"/>
      </w:pPr>
    </w:lvl>
    <w:lvl w:ilvl="6" w:tplc="1090C182">
      <w:start w:val="1"/>
      <w:numFmt w:val="decimal"/>
      <w:lvlText w:val="%7."/>
      <w:lvlJc w:val="left"/>
      <w:pPr>
        <w:tabs>
          <w:tab w:val="num" w:pos="4680"/>
        </w:tabs>
        <w:ind w:left="4680" w:hanging="360"/>
      </w:pPr>
    </w:lvl>
    <w:lvl w:ilvl="7" w:tplc="1A324E96">
      <w:start w:val="1"/>
      <w:numFmt w:val="decimal"/>
      <w:lvlText w:val="%8."/>
      <w:lvlJc w:val="left"/>
      <w:pPr>
        <w:tabs>
          <w:tab w:val="num" w:pos="5400"/>
        </w:tabs>
        <w:ind w:left="5400" w:hanging="360"/>
      </w:pPr>
    </w:lvl>
    <w:lvl w:ilvl="8" w:tplc="3B8CDE14">
      <w:start w:val="1"/>
      <w:numFmt w:val="decimal"/>
      <w:lvlText w:val="%9."/>
      <w:lvlJc w:val="left"/>
      <w:pPr>
        <w:tabs>
          <w:tab w:val="num" w:pos="6120"/>
        </w:tabs>
        <w:ind w:left="6120" w:hanging="360"/>
      </w:pPr>
    </w:lvl>
  </w:abstractNum>
  <w:abstractNum w:abstractNumId="3" w15:restartNumberingAfterBreak="0">
    <w:nsid w:val="7DAA3CDB"/>
    <w:multiLevelType w:val="multilevel"/>
    <w:tmpl w:val="C8FE6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0802067">
    <w:abstractNumId w:val="2"/>
  </w:num>
  <w:num w:numId="2" w16cid:durableId="318776432">
    <w:abstractNumId w:val="2"/>
  </w:num>
  <w:num w:numId="3" w16cid:durableId="1911966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406541">
    <w:abstractNumId w:val="1"/>
  </w:num>
  <w:num w:numId="5" w16cid:durableId="71047432">
    <w:abstractNumId w:val="0"/>
  </w:num>
  <w:num w:numId="6" w16cid:durableId="26989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BAA"/>
    <w:rsid w:val="0000088D"/>
    <w:rsid w:val="00000EA4"/>
    <w:rsid w:val="000109F9"/>
    <w:rsid w:val="00013578"/>
    <w:rsid w:val="000162CE"/>
    <w:rsid w:val="00023E09"/>
    <w:rsid w:val="00027586"/>
    <w:rsid w:val="000342A5"/>
    <w:rsid w:val="000357AD"/>
    <w:rsid w:val="00052C44"/>
    <w:rsid w:val="00054A67"/>
    <w:rsid w:val="00054D10"/>
    <w:rsid w:val="00054F89"/>
    <w:rsid w:val="00057BAA"/>
    <w:rsid w:val="00060356"/>
    <w:rsid w:val="00063EA1"/>
    <w:rsid w:val="00066042"/>
    <w:rsid w:val="0007120E"/>
    <w:rsid w:val="00071D4E"/>
    <w:rsid w:val="000759B3"/>
    <w:rsid w:val="00076B9C"/>
    <w:rsid w:val="00085E3E"/>
    <w:rsid w:val="000870C3"/>
    <w:rsid w:val="00087D0C"/>
    <w:rsid w:val="00095E6E"/>
    <w:rsid w:val="000A126A"/>
    <w:rsid w:val="000A2B94"/>
    <w:rsid w:val="000A44CD"/>
    <w:rsid w:val="000A7A67"/>
    <w:rsid w:val="000A7C3C"/>
    <w:rsid w:val="000A7CCC"/>
    <w:rsid w:val="000B1AB4"/>
    <w:rsid w:val="000B64EE"/>
    <w:rsid w:val="000C25A5"/>
    <w:rsid w:val="000C2AC9"/>
    <w:rsid w:val="000D3A23"/>
    <w:rsid w:val="000E1188"/>
    <w:rsid w:val="000E2347"/>
    <w:rsid w:val="000E589C"/>
    <w:rsid w:val="000F50A5"/>
    <w:rsid w:val="000F7B1F"/>
    <w:rsid w:val="00106AD9"/>
    <w:rsid w:val="0011430B"/>
    <w:rsid w:val="00123C94"/>
    <w:rsid w:val="001246E3"/>
    <w:rsid w:val="001366DD"/>
    <w:rsid w:val="001448EB"/>
    <w:rsid w:val="00146EFF"/>
    <w:rsid w:val="00150164"/>
    <w:rsid w:val="00150DFB"/>
    <w:rsid w:val="0015255E"/>
    <w:rsid w:val="001755B2"/>
    <w:rsid w:val="00175E62"/>
    <w:rsid w:val="0019717E"/>
    <w:rsid w:val="001D0C5F"/>
    <w:rsid w:val="001D3CF1"/>
    <w:rsid w:val="001E1600"/>
    <w:rsid w:val="001E2405"/>
    <w:rsid w:val="001E5A74"/>
    <w:rsid w:val="001F03BA"/>
    <w:rsid w:val="001F0967"/>
    <w:rsid w:val="001F4D52"/>
    <w:rsid w:val="001F50A7"/>
    <w:rsid w:val="002106B6"/>
    <w:rsid w:val="0021273A"/>
    <w:rsid w:val="0021532C"/>
    <w:rsid w:val="00215EC7"/>
    <w:rsid w:val="0022057B"/>
    <w:rsid w:val="00220C43"/>
    <w:rsid w:val="00236915"/>
    <w:rsid w:val="0023715B"/>
    <w:rsid w:val="00237E61"/>
    <w:rsid w:val="002426F9"/>
    <w:rsid w:val="00245270"/>
    <w:rsid w:val="002467E8"/>
    <w:rsid w:val="002610FD"/>
    <w:rsid w:val="00263881"/>
    <w:rsid w:val="00264A9D"/>
    <w:rsid w:val="00273E2D"/>
    <w:rsid w:val="002754C9"/>
    <w:rsid w:val="002810DD"/>
    <w:rsid w:val="002819B8"/>
    <w:rsid w:val="00281B38"/>
    <w:rsid w:val="00287453"/>
    <w:rsid w:val="00291841"/>
    <w:rsid w:val="0029556B"/>
    <w:rsid w:val="002A1160"/>
    <w:rsid w:val="002A3F6F"/>
    <w:rsid w:val="002C2E09"/>
    <w:rsid w:val="002C51AE"/>
    <w:rsid w:val="002D3369"/>
    <w:rsid w:val="002D4361"/>
    <w:rsid w:val="002F1BFC"/>
    <w:rsid w:val="002F1E53"/>
    <w:rsid w:val="002F22D5"/>
    <w:rsid w:val="003010C8"/>
    <w:rsid w:val="003038F8"/>
    <w:rsid w:val="0030DB11"/>
    <w:rsid w:val="00311391"/>
    <w:rsid w:val="003162DB"/>
    <w:rsid w:val="00326B1F"/>
    <w:rsid w:val="00326D7B"/>
    <w:rsid w:val="00326F17"/>
    <w:rsid w:val="003437D0"/>
    <w:rsid w:val="00347FFC"/>
    <w:rsid w:val="003678F9"/>
    <w:rsid w:val="00370EE6"/>
    <w:rsid w:val="00372E6E"/>
    <w:rsid w:val="00375FBB"/>
    <w:rsid w:val="00381B20"/>
    <w:rsid w:val="00386EA3"/>
    <w:rsid w:val="00395300"/>
    <w:rsid w:val="003A0720"/>
    <w:rsid w:val="003A3641"/>
    <w:rsid w:val="003B10D4"/>
    <w:rsid w:val="003B3938"/>
    <w:rsid w:val="003B52BE"/>
    <w:rsid w:val="003C14B7"/>
    <w:rsid w:val="003C39EA"/>
    <w:rsid w:val="003C417F"/>
    <w:rsid w:val="003C69B7"/>
    <w:rsid w:val="003C7658"/>
    <w:rsid w:val="003D2C20"/>
    <w:rsid w:val="003D392D"/>
    <w:rsid w:val="003D699B"/>
    <w:rsid w:val="003E6ADE"/>
    <w:rsid w:val="003F3F9A"/>
    <w:rsid w:val="003F6746"/>
    <w:rsid w:val="00401E88"/>
    <w:rsid w:val="00412A6C"/>
    <w:rsid w:val="00413E61"/>
    <w:rsid w:val="00416644"/>
    <w:rsid w:val="00417E2C"/>
    <w:rsid w:val="00421F23"/>
    <w:rsid w:val="004232E8"/>
    <w:rsid w:val="00423720"/>
    <w:rsid w:val="00424FBD"/>
    <w:rsid w:val="00425D40"/>
    <w:rsid w:val="00431D69"/>
    <w:rsid w:val="004345E2"/>
    <w:rsid w:val="00436064"/>
    <w:rsid w:val="00441AB6"/>
    <w:rsid w:val="00447EB8"/>
    <w:rsid w:val="00461BC8"/>
    <w:rsid w:val="004625F5"/>
    <w:rsid w:val="0047486E"/>
    <w:rsid w:val="00475087"/>
    <w:rsid w:val="004753B4"/>
    <w:rsid w:val="00475A0C"/>
    <w:rsid w:val="00477A8D"/>
    <w:rsid w:val="00482347"/>
    <w:rsid w:val="00484F53"/>
    <w:rsid w:val="004916F8"/>
    <w:rsid w:val="004925FB"/>
    <w:rsid w:val="00494A05"/>
    <w:rsid w:val="00496212"/>
    <w:rsid w:val="004A2F92"/>
    <w:rsid w:val="004A31AB"/>
    <w:rsid w:val="004A5107"/>
    <w:rsid w:val="004A69EA"/>
    <w:rsid w:val="004B121B"/>
    <w:rsid w:val="004B7428"/>
    <w:rsid w:val="004B77DD"/>
    <w:rsid w:val="004C7D11"/>
    <w:rsid w:val="004D7F51"/>
    <w:rsid w:val="004F3DAD"/>
    <w:rsid w:val="0050523A"/>
    <w:rsid w:val="00510877"/>
    <w:rsid w:val="00526CC1"/>
    <w:rsid w:val="005306D2"/>
    <w:rsid w:val="005441D6"/>
    <w:rsid w:val="005534D6"/>
    <w:rsid w:val="0056256E"/>
    <w:rsid w:val="00565829"/>
    <w:rsid w:val="00567657"/>
    <w:rsid w:val="00580BA6"/>
    <w:rsid w:val="00583B5F"/>
    <w:rsid w:val="00584A65"/>
    <w:rsid w:val="00590F79"/>
    <w:rsid w:val="00593508"/>
    <w:rsid w:val="00593800"/>
    <w:rsid w:val="00593F47"/>
    <w:rsid w:val="005A7635"/>
    <w:rsid w:val="005B53B9"/>
    <w:rsid w:val="005B672D"/>
    <w:rsid w:val="005C3E07"/>
    <w:rsid w:val="005C51A4"/>
    <w:rsid w:val="005D43E0"/>
    <w:rsid w:val="005D76D1"/>
    <w:rsid w:val="005E0AEE"/>
    <w:rsid w:val="005E0EA9"/>
    <w:rsid w:val="005E1060"/>
    <w:rsid w:val="005E43E1"/>
    <w:rsid w:val="005E4662"/>
    <w:rsid w:val="005F1C6B"/>
    <w:rsid w:val="005F6343"/>
    <w:rsid w:val="0060265A"/>
    <w:rsid w:val="006110B2"/>
    <w:rsid w:val="006130F4"/>
    <w:rsid w:val="0061315B"/>
    <w:rsid w:val="00613CB1"/>
    <w:rsid w:val="006220B9"/>
    <w:rsid w:val="0062611E"/>
    <w:rsid w:val="0062619B"/>
    <w:rsid w:val="006301F0"/>
    <w:rsid w:val="00633570"/>
    <w:rsid w:val="00634E5C"/>
    <w:rsid w:val="0064110B"/>
    <w:rsid w:val="00645966"/>
    <w:rsid w:val="0064603B"/>
    <w:rsid w:val="0065040A"/>
    <w:rsid w:val="0065124B"/>
    <w:rsid w:val="00655BFB"/>
    <w:rsid w:val="00661250"/>
    <w:rsid w:val="0067214E"/>
    <w:rsid w:val="00681621"/>
    <w:rsid w:val="00682C85"/>
    <w:rsid w:val="00685AC2"/>
    <w:rsid w:val="006900C1"/>
    <w:rsid w:val="0069412B"/>
    <w:rsid w:val="00694C7E"/>
    <w:rsid w:val="006B1D01"/>
    <w:rsid w:val="006D127B"/>
    <w:rsid w:val="006D26C6"/>
    <w:rsid w:val="006D4DF1"/>
    <w:rsid w:val="006D5B0F"/>
    <w:rsid w:val="006E5D40"/>
    <w:rsid w:val="006F48CA"/>
    <w:rsid w:val="006F7341"/>
    <w:rsid w:val="007168F1"/>
    <w:rsid w:val="00716B28"/>
    <w:rsid w:val="00717D46"/>
    <w:rsid w:val="007237BB"/>
    <w:rsid w:val="00724DDE"/>
    <w:rsid w:val="00732D8C"/>
    <w:rsid w:val="00737798"/>
    <w:rsid w:val="00745DB6"/>
    <w:rsid w:val="007460BB"/>
    <w:rsid w:val="00746CF2"/>
    <w:rsid w:val="00750902"/>
    <w:rsid w:val="00753129"/>
    <w:rsid w:val="00754CA3"/>
    <w:rsid w:val="00761401"/>
    <w:rsid w:val="00761AFC"/>
    <w:rsid w:val="0076523D"/>
    <w:rsid w:val="00770B5D"/>
    <w:rsid w:val="00771341"/>
    <w:rsid w:val="007776F3"/>
    <w:rsid w:val="00777C5B"/>
    <w:rsid w:val="00781DF3"/>
    <w:rsid w:val="00785B6F"/>
    <w:rsid w:val="00791685"/>
    <w:rsid w:val="007956DA"/>
    <w:rsid w:val="00795BA7"/>
    <w:rsid w:val="007A2A2B"/>
    <w:rsid w:val="007A5507"/>
    <w:rsid w:val="007B1257"/>
    <w:rsid w:val="007B1B41"/>
    <w:rsid w:val="007C0BC8"/>
    <w:rsid w:val="007D24F7"/>
    <w:rsid w:val="007D404E"/>
    <w:rsid w:val="007E259F"/>
    <w:rsid w:val="007F2A68"/>
    <w:rsid w:val="007F40B8"/>
    <w:rsid w:val="00806E33"/>
    <w:rsid w:val="0081497F"/>
    <w:rsid w:val="00820008"/>
    <w:rsid w:val="00822099"/>
    <w:rsid w:val="00826DDD"/>
    <w:rsid w:val="0083425C"/>
    <w:rsid w:val="00844479"/>
    <w:rsid w:val="00855B92"/>
    <w:rsid w:val="008625E5"/>
    <w:rsid w:val="00866EB4"/>
    <w:rsid w:val="00871F0A"/>
    <w:rsid w:val="00872FE9"/>
    <w:rsid w:val="00874715"/>
    <w:rsid w:val="008856D7"/>
    <w:rsid w:val="00886818"/>
    <w:rsid w:val="008905CF"/>
    <w:rsid w:val="0089411E"/>
    <w:rsid w:val="0089493C"/>
    <w:rsid w:val="008954BD"/>
    <w:rsid w:val="008A4B35"/>
    <w:rsid w:val="008A4D8C"/>
    <w:rsid w:val="008C4640"/>
    <w:rsid w:val="008C5737"/>
    <w:rsid w:val="008D3A44"/>
    <w:rsid w:val="008D60FD"/>
    <w:rsid w:val="008D689D"/>
    <w:rsid w:val="008D6E1B"/>
    <w:rsid w:val="008D78A5"/>
    <w:rsid w:val="008E5C9B"/>
    <w:rsid w:val="008E651A"/>
    <w:rsid w:val="008E7031"/>
    <w:rsid w:val="008F75F7"/>
    <w:rsid w:val="0090269F"/>
    <w:rsid w:val="009029AC"/>
    <w:rsid w:val="00903BF3"/>
    <w:rsid w:val="00904398"/>
    <w:rsid w:val="009133F5"/>
    <w:rsid w:val="00914D8D"/>
    <w:rsid w:val="00926A58"/>
    <w:rsid w:val="009328ED"/>
    <w:rsid w:val="00933806"/>
    <w:rsid w:val="00942E9B"/>
    <w:rsid w:val="00944749"/>
    <w:rsid w:val="009529D7"/>
    <w:rsid w:val="009541BF"/>
    <w:rsid w:val="009556DA"/>
    <w:rsid w:val="0096144E"/>
    <w:rsid w:val="0096321E"/>
    <w:rsid w:val="00964EBD"/>
    <w:rsid w:val="00970A50"/>
    <w:rsid w:val="00973D0D"/>
    <w:rsid w:val="00976870"/>
    <w:rsid w:val="00987187"/>
    <w:rsid w:val="00993DB8"/>
    <w:rsid w:val="009A0023"/>
    <w:rsid w:val="009A065B"/>
    <w:rsid w:val="009A0B8A"/>
    <w:rsid w:val="009A72A5"/>
    <w:rsid w:val="009C1C7F"/>
    <w:rsid w:val="009C50BC"/>
    <w:rsid w:val="009C749A"/>
    <w:rsid w:val="009E5120"/>
    <w:rsid w:val="009F1904"/>
    <w:rsid w:val="009F6791"/>
    <w:rsid w:val="00A00F17"/>
    <w:rsid w:val="00A05368"/>
    <w:rsid w:val="00A071E2"/>
    <w:rsid w:val="00A13D27"/>
    <w:rsid w:val="00A14CF0"/>
    <w:rsid w:val="00A20165"/>
    <w:rsid w:val="00A21F66"/>
    <w:rsid w:val="00A26BF0"/>
    <w:rsid w:val="00A26E0D"/>
    <w:rsid w:val="00A32545"/>
    <w:rsid w:val="00A33376"/>
    <w:rsid w:val="00A358B2"/>
    <w:rsid w:val="00A406CE"/>
    <w:rsid w:val="00A41050"/>
    <w:rsid w:val="00A44FB5"/>
    <w:rsid w:val="00A45834"/>
    <w:rsid w:val="00A53587"/>
    <w:rsid w:val="00A53F06"/>
    <w:rsid w:val="00A5518F"/>
    <w:rsid w:val="00A56414"/>
    <w:rsid w:val="00A622D3"/>
    <w:rsid w:val="00A8269F"/>
    <w:rsid w:val="00A862E9"/>
    <w:rsid w:val="00A9258C"/>
    <w:rsid w:val="00A92763"/>
    <w:rsid w:val="00A92B3C"/>
    <w:rsid w:val="00A92DAC"/>
    <w:rsid w:val="00AA1D6E"/>
    <w:rsid w:val="00AA68D2"/>
    <w:rsid w:val="00AB61AF"/>
    <w:rsid w:val="00AC341C"/>
    <w:rsid w:val="00AC7F78"/>
    <w:rsid w:val="00AC7FFD"/>
    <w:rsid w:val="00AD4A3B"/>
    <w:rsid w:val="00AD688B"/>
    <w:rsid w:val="00AE1AC3"/>
    <w:rsid w:val="00AF1C4A"/>
    <w:rsid w:val="00AF24DF"/>
    <w:rsid w:val="00AF77DE"/>
    <w:rsid w:val="00B01DDB"/>
    <w:rsid w:val="00B02AC5"/>
    <w:rsid w:val="00B03FBF"/>
    <w:rsid w:val="00B055E1"/>
    <w:rsid w:val="00B103C1"/>
    <w:rsid w:val="00B12369"/>
    <w:rsid w:val="00B1637F"/>
    <w:rsid w:val="00B1651D"/>
    <w:rsid w:val="00B261E6"/>
    <w:rsid w:val="00B26280"/>
    <w:rsid w:val="00B3061F"/>
    <w:rsid w:val="00B32D6E"/>
    <w:rsid w:val="00B34FE2"/>
    <w:rsid w:val="00B4525C"/>
    <w:rsid w:val="00B45360"/>
    <w:rsid w:val="00B46F5D"/>
    <w:rsid w:val="00B5292D"/>
    <w:rsid w:val="00B70063"/>
    <w:rsid w:val="00B76559"/>
    <w:rsid w:val="00B80F15"/>
    <w:rsid w:val="00B864D2"/>
    <w:rsid w:val="00B86D48"/>
    <w:rsid w:val="00B9121C"/>
    <w:rsid w:val="00B91B8A"/>
    <w:rsid w:val="00B92269"/>
    <w:rsid w:val="00B944EA"/>
    <w:rsid w:val="00BB289A"/>
    <w:rsid w:val="00BD27C3"/>
    <w:rsid w:val="00BD36A4"/>
    <w:rsid w:val="00BE3660"/>
    <w:rsid w:val="00BF5734"/>
    <w:rsid w:val="00C055B6"/>
    <w:rsid w:val="00C15457"/>
    <w:rsid w:val="00C23019"/>
    <w:rsid w:val="00C2402B"/>
    <w:rsid w:val="00C25EBA"/>
    <w:rsid w:val="00C343B7"/>
    <w:rsid w:val="00C37854"/>
    <w:rsid w:val="00C43035"/>
    <w:rsid w:val="00C45D39"/>
    <w:rsid w:val="00C53886"/>
    <w:rsid w:val="00C53F20"/>
    <w:rsid w:val="00C573AB"/>
    <w:rsid w:val="00C611F9"/>
    <w:rsid w:val="00C66097"/>
    <w:rsid w:val="00C814F9"/>
    <w:rsid w:val="00C8528B"/>
    <w:rsid w:val="00C86CE0"/>
    <w:rsid w:val="00C93190"/>
    <w:rsid w:val="00C9551C"/>
    <w:rsid w:val="00C96387"/>
    <w:rsid w:val="00CA561C"/>
    <w:rsid w:val="00CA61D8"/>
    <w:rsid w:val="00CA69B3"/>
    <w:rsid w:val="00CB1D2A"/>
    <w:rsid w:val="00CB339C"/>
    <w:rsid w:val="00CB5428"/>
    <w:rsid w:val="00CB5EB7"/>
    <w:rsid w:val="00CC0F21"/>
    <w:rsid w:val="00CC197A"/>
    <w:rsid w:val="00CC4766"/>
    <w:rsid w:val="00CC6954"/>
    <w:rsid w:val="00CC79B0"/>
    <w:rsid w:val="00CD1CBE"/>
    <w:rsid w:val="00CD2A9E"/>
    <w:rsid w:val="00CD3F63"/>
    <w:rsid w:val="00CD4A02"/>
    <w:rsid w:val="00CE14C1"/>
    <w:rsid w:val="00CE1A4C"/>
    <w:rsid w:val="00CE43BA"/>
    <w:rsid w:val="00CE4F33"/>
    <w:rsid w:val="00CE609E"/>
    <w:rsid w:val="00CF0A05"/>
    <w:rsid w:val="00CF2085"/>
    <w:rsid w:val="00CF27E7"/>
    <w:rsid w:val="00CF5EF3"/>
    <w:rsid w:val="00D00105"/>
    <w:rsid w:val="00D02C02"/>
    <w:rsid w:val="00D0316D"/>
    <w:rsid w:val="00D034A2"/>
    <w:rsid w:val="00D0367E"/>
    <w:rsid w:val="00D05460"/>
    <w:rsid w:val="00D23233"/>
    <w:rsid w:val="00D33C8F"/>
    <w:rsid w:val="00D37935"/>
    <w:rsid w:val="00D37B06"/>
    <w:rsid w:val="00D423A4"/>
    <w:rsid w:val="00D431BE"/>
    <w:rsid w:val="00D466B1"/>
    <w:rsid w:val="00D537B1"/>
    <w:rsid w:val="00D56F5B"/>
    <w:rsid w:val="00D57D1E"/>
    <w:rsid w:val="00D67487"/>
    <w:rsid w:val="00D800A6"/>
    <w:rsid w:val="00D82F83"/>
    <w:rsid w:val="00D854D5"/>
    <w:rsid w:val="00D8748C"/>
    <w:rsid w:val="00D87735"/>
    <w:rsid w:val="00D90C52"/>
    <w:rsid w:val="00DA5151"/>
    <w:rsid w:val="00DB357E"/>
    <w:rsid w:val="00DB5EA8"/>
    <w:rsid w:val="00DB60A4"/>
    <w:rsid w:val="00DB6247"/>
    <w:rsid w:val="00DC5E76"/>
    <w:rsid w:val="00DC6924"/>
    <w:rsid w:val="00DC6B9C"/>
    <w:rsid w:val="00DE0092"/>
    <w:rsid w:val="00DE0137"/>
    <w:rsid w:val="00DF1B8A"/>
    <w:rsid w:val="00DF28D2"/>
    <w:rsid w:val="00E042B2"/>
    <w:rsid w:val="00E12EA2"/>
    <w:rsid w:val="00E15EAF"/>
    <w:rsid w:val="00E16623"/>
    <w:rsid w:val="00E2022F"/>
    <w:rsid w:val="00E232E8"/>
    <w:rsid w:val="00E321F0"/>
    <w:rsid w:val="00E41526"/>
    <w:rsid w:val="00E4160D"/>
    <w:rsid w:val="00E473AF"/>
    <w:rsid w:val="00E5006B"/>
    <w:rsid w:val="00E5660F"/>
    <w:rsid w:val="00E60F8C"/>
    <w:rsid w:val="00E7659E"/>
    <w:rsid w:val="00E77313"/>
    <w:rsid w:val="00E802B8"/>
    <w:rsid w:val="00E91AED"/>
    <w:rsid w:val="00E970E6"/>
    <w:rsid w:val="00E971F8"/>
    <w:rsid w:val="00ED195D"/>
    <w:rsid w:val="00ED3281"/>
    <w:rsid w:val="00ED463F"/>
    <w:rsid w:val="00EE03D0"/>
    <w:rsid w:val="00EE3084"/>
    <w:rsid w:val="00EE778C"/>
    <w:rsid w:val="00EF434B"/>
    <w:rsid w:val="00F00D21"/>
    <w:rsid w:val="00F11D3E"/>
    <w:rsid w:val="00F25C29"/>
    <w:rsid w:val="00F3006C"/>
    <w:rsid w:val="00F33244"/>
    <w:rsid w:val="00F36A33"/>
    <w:rsid w:val="00F36E54"/>
    <w:rsid w:val="00F375A9"/>
    <w:rsid w:val="00F41374"/>
    <w:rsid w:val="00F45572"/>
    <w:rsid w:val="00F528A8"/>
    <w:rsid w:val="00F54224"/>
    <w:rsid w:val="00F77C42"/>
    <w:rsid w:val="00F80250"/>
    <w:rsid w:val="00F81FA6"/>
    <w:rsid w:val="00F8239C"/>
    <w:rsid w:val="00F82FE3"/>
    <w:rsid w:val="00F84778"/>
    <w:rsid w:val="00F92A75"/>
    <w:rsid w:val="00FA1BE5"/>
    <w:rsid w:val="00FA3475"/>
    <w:rsid w:val="00FA49A5"/>
    <w:rsid w:val="00FA4C2F"/>
    <w:rsid w:val="00FA6724"/>
    <w:rsid w:val="00FA719C"/>
    <w:rsid w:val="00FB16AF"/>
    <w:rsid w:val="00FB4C5A"/>
    <w:rsid w:val="00FB5547"/>
    <w:rsid w:val="00FC0F63"/>
    <w:rsid w:val="00FC5049"/>
    <w:rsid w:val="00FC50E8"/>
    <w:rsid w:val="00FC54D0"/>
    <w:rsid w:val="00FC5912"/>
    <w:rsid w:val="00FD38F8"/>
    <w:rsid w:val="00FD6D11"/>
    <w:rsid w:val="00FD7C75"/>
    <w:rsid w:val="00FE0883"/>
    <w:rsid w:val="00FE2E45"/>
    <w:rsid w:val="00FE630F"/>
    <w:rsid w:val="00FE674F"/>
    <w:rsid w:val="00FF0BD1"/>
    <w:rsid w:val="00FF0E0F"/>
    <w:rsid w:val="00FF1962"/>
    <w:rsid w:val="00FF5DDA"/>
    <w:rsid w:val="00FF6046"/>
    <w:rsid w:val="00FF656A"/>
    <w:rsid w:val="01A2F5B7"/>
    <w:rsid w:val="03971B34"/>
    <w:rsid w:val="05942119"/>
    <w:rsid w:val="06BBE66C"/>
    <w:rsid w:val="0A94DD7F"/>
    <w:rsid w:val="0C72E23F"/>
    <w:rsid w:val="0CDC2C1C"/>
    <w:rsid w:val="0E91BF26"/>
    <w:rsid w:val="104F0A94"/>
    <w:rsid w:val="11E3F597"/>
    <w:rsid w:val="14634896"/>
    <w:rsid w:val="1AA3B3AD"/>
    <w:rsid w:val="1B595FE7"/>
    <w:rsid w:val="201FCDA2"/>
    <w:rsid w:val="2DDB43AE"/>
    <w:rsid w:val="339B6904"/>
    <w:rsid w:val="39FCA636"/>
    <w:rsid w:val="3E654A6D"/>
    <w:rsid w:val="432172C1"/>
    <w:rsid w:val="4469CBAC"/>
    <w:rsid w:val="49F08558"/>
    <w:rsid w:val="4AFC2421"/>
    <w:rsid w:val="5BCDAC96"/>
    <w:rsid w:val="651849CC"/>
    <w:rsid w:val="6864A837"/>
    <w:rsid w:val="69F47C31"/>
    <w:rsid w:val="6A80A4DD"/>
    <w:rsid w:val="6C36BCCC"/>
    <w:rsid w:val="711FB510"/>
    <w:rsid w:val="74B74293"/>
    <w:rsid w:val="75656D70"/>
    <w:rsid w:val="7C2F5A1E"/>
    <w:rsid w:val="7FB96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E55A3"/>
  <w15:docId w15:val="{44C08204-AE86-498B-8377-01A9A6F1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660000"/>
      <w:u w:val="single"/>
    </w:rPr>
  </w:style>
  <w:style w:type="character" w:styleId="FollowedHyperlink">
    <w:name w:val="FollowedHyperlink"/>
    <w:basedOn w:val="DefaultParagraphFont"/>
    <w:semiHidden/>
    <w:rPr>
      <w:color w:val="333366"/>
      <w:u w:val="single"/>
    </w:rPr>
  </w:style>
  <w:style w:type="paragraph" w:styleId="NormalWeb">
    <w:name w:val="Normal (Web)"/>
    <w:basedOn w:val="Normal"/>
    <w:semiHidden/>
    <w:pPr>
      <w:spacing w:before="100" w:beforeAutospacing="1" w:after="100" w:afterAutospacing="1"/>
    </w:pPr>
  </w:style>
  <w:style w:type="paragraph" w:styleId="BodyTextIndent">
    <w:name w:val="Body Text Indent"/>
    <w:basedOn w:val="Normal"/>
    <w:semiHidden/>
    <w:pPr>
      <w:ind w:left="1620"/>
    </w:pPr>
    <w:rPr>
      <w:rFonts w:cs="Arial"/>
      <w:szCs w:val="20"/>
    </w:rPr>
  </w:style>
  <w:style w:type="paragraph" w:styleId="ListParagraph">
    <w:name w:val="List Paragraph"/>
    <w:basedOn w:val="Normal"/>
    <w:uiPriority w:val="34"/>
    <w:qFormat/>
    <w:rsid w:val="00150DFB"/>
    <w:pPr>
      <w:ind w:left="720"/>
      <w:contextualSpacing/>
    </w:pPr>
  </w:style>
  <w:style w:type="paragraph" w:styleId="BalloonText">
    <w:name w:val="Balloon Text"/>
    <w:basedOn w:val="Normal"/>
    <w:link w:val="BalloonTextChar"/>
    <w:uiPriority w:val="99"/>
    <w:semiHidden/>
    <w:unhideWhenUsed/>
    <w:rsid w:val="007A5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07"/>
    <w:rPr>
      <w:rFonts w:ascii="Segoe UI" w:hAnsi="Segoe UI" w:cs="Segoe UI"/>
      <w:sz w:val="18"/>
      <w:szCs w:val="18"/>
    </w:rPr>
  </w:style>
  <w:style w:type="paragraph" w:styleId="Revision">
    <w:name w:val="Revision"/>
    <w:hidden/>
    <w:uiPriority w:val="99"/>
    <w:semiHidden/>
    <w:rsid w:val="00EE3084"/>
    <w:rPr>
      <w:sz w:val="24"/>
      <w:szCs w:val="24"/>
    </w:rPr>
  </w:style>
  <w:style w:type="paragraph" w:styleId="Header">
    <w:name w:val="header"/>
    <w:basedOn w:val="Normal"/>
    <w:link w:val="HeaderChar"/>
    <w:uiPriority w:val="99"/>
    <w:unhideWhenUsed/>
    <w:rsid w:val="00B86D48"/>
    <w:pPr>
      <w:tabs>
        <w:tab w:val="center" w:pos="4680"/>
        <w:tab w:val="right" w:pos="9360"/>
      </w:tabs>
    </w:pPr>
  </w:style>
  <w:style w:type="character" w:customStyle="1" w:styleId="HeaderChar">
    <w:name w:val="Header Char"/>
    <w:basedOn w:val="DefaultParagraphFont"/>
    <w:link w:val="Header"/>
    <w:uiPriority w:val="99"/>
    <w:rsid w:val="00B86D48"/>
    <w:rPr>
      <w:sz w:val="24"/>
      <w:szCs w:val="24"/>
    </w:rPr>
  </w:style>
  <w:style w:type="paragraph" w:styleId="Footer">
    <w:name w:val="footer"/>
    <w:basedOn w:val="Normal"/>
    <w:link w:val="FooterChar"/>
    <w:uiPriority w:val="99"/>
    <w:unhideWhenUsed/>
    <w:rsid w:val="00B86D48"/>
    <w:pPr>
      <w:tabs>
        <w:tab w:val="center" w:pos="4680"/>
        <w:tab w:val="right" w:pos="9360"/>
      </w:tabs>
    </w:pPr>
  </w:style>
  <w:style w:type="character" w:customStyle="1" w:styleId="FooterChar">
    <w:name w:val="Footer Char"/>
    <w:basedOn w:val="DefaultParagraphFont"/>
    <w:link w:val="Footer"/>
    <w:uiPriority w:val="99"/>
    <w:rsid w:val="00B86D48"/>
    <w:rPr>
      <w:sz w:val="24"/>
      <w:szCs w:val="24"/>
    </w:rPr>
  </w:style>
  <w:style w:type="character" w:customStyle="1" w:styleId="normaltextrun">
    <w:name w:val="normaltextrun"/>
    <w:basedOn w:val="DefaultParagraphFont"/>
    <w:rsid w:val="00C45D39"/>
  </w:style>
  <w:style w:type="character" w:styleId="CommentReference">
    <w:name w:val="annotation reference"/>
    <w:basedOn w:val="DefaultParagraphFont"/>
    <w:uiPriority w:val="99"/>
    <w:semiHidden/>
    <w:unhideWhenUsed/>
    <w:rsid w:val="00C45D39"/>
    <w:rPr>
      <w:sz w:val="16"/>
      <w:szCs w:val="16"/>
    </w:rPr>
  </w:style>
  <w:style w:type="paragraph" w:styleId="CommentText">
    <w:name w:val="annotation text"/>
    <w:basedOn w:val="Normal"/>
    <w:link w:val="CommentTextChar"/>
    <w:uiPriority w:val="99"/>
    <w:unhideWhenUsed/>
    <w:rsid w:val="00C45D39"/>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C45D39"/>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264A9D"/>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264A9D"/>
    <w:rPr>
      <w:rFonts w:asciiTheme="minorHAnsi" w:eastAsiaTheme="minorHAnsi" w:hAnsiTheme="minorHAnsi" w:cstheme="minorBidi"/>
      <w:b/>
      <w:bCs/>
      <w:kern w:val="2"/>
      <w14:ligatures w14:val="standardContextual"/>
    </w:rPr>
  </w:style>
  <w:style w:type="character" w:styleId="PageNumber">
    <w:name w:val="page number"/>
    <w:basedOn w:val="DefaultParagraphFont"/>
    <w:uiPriority w:val="99"/>
    <w:semiHidden/>
    <w:rsid w:val="0075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8678">
      <w:bodyDiv w:val="1"/>
      <w:marLeft w:val="0"/>
      <w:marRight w:val="0"/>
      <w:marTop w:val="0"/>
      <w:marBottom w:val="0"/>
      <w:divBdr>
        <w:top w:val="none" w:sz="0" w:space="0" w:color="auto"/>
        <w:left w:val="none" w:sz="0" w:space="0" w:color="auto"/>
        <w:bottom w:val="none" w:sz="0" w:space="0" w:color="auto"/>
        <w:right w:val="none" w:sz="0" w:space="0" w:color="auto"/>
      </w:divBdr>
    </w:div>
    <w:div w:id="913204955">
      <w:bodyDiv w:val="1"/>
      <w:marLeft w:val="0"/>
      <w:marRight w:val="0"/>
      <w:marTop w:val="0"/>
      <w:marBottom w:val="0"/>
      <w:divBdr>
        <w:top w:val="none" w:sz="0" w:space="0" w:color="auto"/>
        <w:left w:val="none" w:sz="0" w:space="0" w:color="auto"/>
        <w:bottom w:val="none" w:sz="0" w:space="0" w:color="auto"/>
        <w:right w:val="none" w:sz="0" w:space="0" w:color="auto"/>
      </w:divBdr>
    </w:div>
    <w:div w:id="1577933653">
      <w:bodyDiv w:val="1"/>
      <w:marLeft w:val="0"/>
      <w:marRight w:val="0"/>
      <w:marTop w:val="0"/>
      <w:marBottom w:val="0"/>
      <w:divBdr>
        <w:top w:val="none" w:sz="0" w:space="0" w:color="auto"/>
        <w:left w:val="none" w:sz="0" w:space="0" w:color="auto"/>
        <w:bottom w:val="none" w:sz="0" w:space="0" w:color="auto"/>
        <w:right w:val="none" w:sz="0" w:space="0" w:color="auto"/>
      </w:divBdr>
    </w:div>
    <w:div w:id="1618871364">
      <w:bodyDiv w:val="1"/>
      <w:marLeft w:val="0"/>
      <w:marRight w:val="0"/>
      <w:marTop w:val="0"/>
      <w:marBottom w:val="0"/>
      <w:divBdr>
        <w:top w:val="none" w:sz="0" w:space="0" w:color="auto"/>
        <w:left w:val="none" w:sz="0" w:space="0" w:color="auto"/>
        <w:bottom w:val="none" w:sz="0" w:space="0" w:color="auto"/>
        <w:right w:val="none" w:sz="0" w:space="0" w:color="auto"/>
      </w:divBdr>
    </w:div>
    <w:div w:id="18399282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d7af8b0-3728-4893-a17b-2640a11eff7e">
      <UserInfo>
        <DisplayName>Johnson, Lisa</DisplayName>
        <AccountId>86</AccountId>
        <AccountType/>
      </UserInfo>
      <UserInfo>
        <DisplayName>Gunwall, Claire</DisplayName>
        <AccountId>920</AccountId>
        <AccountType/>
      </UserInfo>
      <UserInfo>
        <DisplayName>Pieske, Christopher</DisplayName>
        <AccountId>28045</AccountId>
        <AccountType/>
      </UserInfo>
      <UserInfo>
        <DisplayName>Wells, Melissa</DisplayName>
        <AccountId>57937</AccountId>
        <AccountType/>
      </UserInfo>
      <UserInfo>
        <DisplayName>Easton, Stephen</DisplayName>
        <AccountId>7716</AccountId>
        <AccountType/>
      </UserInfo>
      <UserInfo>
        <DisplayName>Armacost, Andrew</DisplayName>
        <AccountId>19904</AccountId>
        <AccountType/>
      </UserInfo>
      <UserInfo>
        <DisplayName>Cook, David</DisplayName>
        <AccountId>56493</AccountId>
        <AccountType/>
      </UserInfo>
      <UserInfo>
        <DisplayName>Gorenflo, Mark</DisplayName>
        <AccountId>70177</AccountId>
        <AccountType/>
      </UserInfo>
    </SharedWithUsers>
    <Council_x0020_Date xmlns="d4da351a-fa21-4c81-b685-94b6f55b9278" xsi:nil="true"/>
    <Cabinet_x0020_Date xmlns="d4da351a-fa21-4c81-b685-94b6f55b9278" xsi:nil="true"/>
    <SBHE_x0020_Date xmlns="d4da351a-fa21-4c81-b685-94b6f55b9278">2011-06-16T05:00:00+00:00</SBHE_x0020_Date>
    <Committee_x0020_Date xmlns="d4da351a-fa21-4c81-b685-94b6f55b9278" xsi:nil="true"/>
    <SBHE_x0020_Policy_x0020_Number xmlns="d4da351a-fa21-4c81-b685-94b6f55b9278">605.1</SBHE_x0020_Policy_x0020_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66CDC1534DD64089122AEA045C581B" ma:contentTypeVersion="19" ma:contentTypeDescription="Create a new document." ma:contentTypeScope="" ma:versionID="5c6981f717a65dbe9d07a086849dd34d">
  <xsd:schema xmlns:xsd="http://www.w3.org/2001/XMLSchema" xmlns:xs="http://www.w3.org/2001/XMLSchema" xmlns:p="http://schemas.microsoft.com/office/2006/metadata/properties" xmlns:ns2="d4da351a-fa21-4c81-b685-94b6f55b9278" xmlns:ns3="2d7af8b0-3728-4893-a17b-2640a11eff7e" targetNamespace="http://schemas.microsoft.com/office/2006/metadata/properties" ma:root="true" ma:fieldsID="e46b18166c08f8b44f48556023ba7260" ns2:_="" ns3:_="">
    <xsd:import namespace="d4da351a-fa21-4c81-b685-94b6f55b9278"/>
    <xsd:import namespace="2d7af8b0-3728-4893-a17b-2640a11eff7e"/>
    <xsd:element name="properties">
      <xsd:complexType>
        <xsd:sequence>
          <xsd:element name="documentManagement">
            <xsd:complexType>
              <xsd:all>
                <xsd:element ref="ns2:SBHE_x0020_Policy_x0020_Number"/>
                <xsd:element ref="ns2:MediaServiceMetadata" minOccurs="0"/>
                <xsd:element ref="ns2:MediaServiceFastMetadata" minOccurs="0"/>
                <xsd:element ref="ns2:Cabinet_x0020_Date" minOccurs="0"/>
                <xsd:element ref="ns2:Committee_x0020_Date" minOccurs="0"/>
                <xsd:element ref="ns2:Council_x0020_Date" minOccurs="0"/>
                <xsd:element ref="ns2:SBHE_x0020_Dat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a351a-fa21-4c81-b685-94b6f55b9278" elementFormDefault="qualified">
    <xsd:import namespace="http://schemas.microsoft.com/office/2006/documentManagement/types"/>
    <xsd:import namespace="http://schemas.microsoft.com/office/infopath/2007/PartnerControls"/>
    <xsd:element name="SBHE_x0020_Policy_x0020_Number" ma:index="8" ma:displayName="SBHE Policy Number" ma:format="Dropdown" ma:indexed="true" ma:internalName="SBHE_x0020_Policy_x0020_Numbe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binet_x0020_Date" ma:index="13" nillable="true" ma:displayName="Cabinet Date" ma:format="DateOnly" ma:internalName="Cabinet_x0020_Date">
      <xsd:simpleType>
        <xsd:restriction base="dms:DateTime"/>
      </xsd:simpleType>
    </xsd:element>
    <xsd:element name="Committee_x0020_Date" ma:index="14" nillable="true" ma:displayName="Committee Date" ma:format="DateOnly" ma:internalName="Committee_x0020_Date">
      <xsd:simpleType>
        <xsd:restriction base="dms:DateTime"/>
      </xsd:simpleType>
    </xsd:element>
    <xsd:element name="Council_x0020_Date" ma:index="15" nillable="true" ma:displayName="Council Date" ma:format="DateOnly" ma:internalName="Council_x0020_Date">
      <xsd:simpleType>
        <xsd:restriction base="dms:DateTime"/>
      </xsd:simpleType>
    </xsd:element>
    <xsd:element name="SBHE_x0020_Date" ma:index="16" nillable="true" ma:displayName="SBHE Date" ma:format="DateOnly" ma:internalName="SBHE_x0020_Dat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af8b0-3728-4893-a17b-2640a11eff7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32C2D-E157-46FE-8B94-283ABE5B4C3D}">
  <ds:schemaRefs>
    <ds:schemaRef ds:uri="http://schemas.microsoft.com/sharepoint/v3/contenttype/forms"/>
  </ds:schemaRefs>
</ds:datastoreItem>
</file>

<file path=customXml/itemProps2.xml><?xml version="1.0" encoding="utf-8"?>
<ds:datastoreItem xmlns:ds="http://schemas.openxmlformats.org/officeDocument/2006/customXml" ds:itemID="{3CA82112-3620-457E-8C51-CCCE41E2868E}">
  <ds:schemaRefs>
    <ds:schemaRef ds:uri="http://schemas.microsoft.com/office/2006/metadata/properties"/>
    <ds:schemaRef ds:uri="http://schemas.microsoft.com/office/infopath/2007/PartnerControls"/>
    <ds:schemaRef ds:uri="2d7af8b0-3728-4893-a17b-2640a11eff7e"/>
  </ds:schemaRefs>
</ds:datastoreItem>
</file>

<file path=customXml/itemProps3.xml><?xml version="1.0" encoding="utf-8"?>
<ds:datastoreItem xmlns:ds="http://schemas.openxmlformats.org/officeDocument/2006/customXml" ds:itemID="{0C235095-162D-4135-8C96-F726A2710A78}"/>
</file>

<file path=docProps/app.xml><?xml version="1.0" encoding="utf-8"?>
<Properties xmlns="http://schemas.openxmlformats.org/officeDocument/2006/extended-properties" xmlns:vt="http://schemas.openxmlformats.org/officeDocument/2006/docPropsVTypes">
  <Template>Normal</Template>
  <TotalTime>100</TotalTime>
  <Pages>7</Pages>
  <Words>2267</Words>
  <Characters>13246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NDUS - Policies and Procedures</vt:lpstr>
    </vt:vector>
  </TitlesOfParts>
  <Company>North Dakota University System</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NDUS - Policies and Procedures</dc:title>
  <dc:subject/>
  <dc:creator>Pat Seaworth</dc:creator>
  <cp:keywords/>
  <cp:lastModifiedBy>Pieske, Christopher</cp:lastModifiedBy>
  <cp:revision>326</cp:revision>
  <cp:lastPrinted>2025-08-02T05:47:00Z</cp:lastPrinted>
  <dcterms:created xsi:type="dcterms:W3CDTF">2022-04-19T02:49:00Z</dcterms:created>
  <dcterms:modified xsi:type="dcterms:W3CDTF">2026-02-26T21:04:00Z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0x0101003C66CDC1534DD64089122AEA045C581B</vt:lpwstr>
  </property>
  <property fmtid="{D5CDD505-2E9C-101B-9397-08002B2CF9AE}" pid="3" name="TaxKeyword">
    <vt:lpwstr/>
  </property>
  <property fmtid="{D5CDD505-2E9C-101B-9397-08002B2CF9AE}" pid="4" name="TaxKeywordTaxHTField">
    <vt:lpwstr/>
  </property>
  <property fmtid="{D5CDD505-2E9C-101B-9397-08002B2CF9AE}" pid="5" name="GrammarlyDocumentId">
    <vt:lpwstr>41000a9c68fd170e1d95e3ee1f314a0c036eb8e72e0d5c621277843a944bae95</vt:lpwstr>
  </property>
  <property fmtid="{D5CDD505-2E9C-101B-9397-08002B2CF9AE}" pid="6" name="SBHE Policy Number1">
    <vt:lpwstr>605.1</vt:lpwstr>
  </property>
  <property fmtid="{D5CDD505-2E9C-101B-9397-08002B2CF9AE}" pid="7" name="SBHE Policy Number">
    <vt:lpwstr>605.1</vt:lpwstr>
  </property>
  <property fmtid="{D5CDD505-2E9C-101B-9397-08002B2CF9AE}" pid="9" name="docLang">
    <vt:lpwstr>en</vt:lpwstr>
  </property>
</Properties>
</file>