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8E9A" w14:textId="23BF279F" w:rsidR="0054495E" w:rsidRDefault="0054495E" w:rsidP="0054495E">
      <w:pPr>
        <w:pStyle w:val="Heading1"/>
        <w:spacing w:after="240"/>
        <w:jc w:val="center"/>
        <w:rPr>
          <w:rFonts w:eastAsiaTheme="minorHAnsi" w:cs="Calibri"/>
          <w:color w:val="262626"/>
          <w:sz w:val="24"/>
          <w:szCs w:val="24"/>
        </w:rPr>
      </w:pPr>
      <w:r>
        <w:rPr>
          <w:rFonts w:eastAsiaTheme="minorHAnsi"/>
        </w:rPr>
        <w:t>HIGH-IMPACT LEARNING COMMUNITIES @UND</w:t>
      </w:r>
    </w:p>
    <w:p w14:paraId="7B9440F1" w14:textId="77777777" w:rsidR="0054495E" w:rsidRDefault="0054495E" w:rsidP="0054495E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  <w:u w:val="single"/>
        </w:rPr>
      </w:pPr>
      <w:r w:rsidRPr="0054495E">
        <w:rPr>
          <w:rFonts w:ascii="Calibri" w:eastAsiaTheme="minorHAnsi" w:hAnsi="Calibri" w:cs="Calibri"/>
          <w:sz w:val="24"/>
          <w:szCs w:val="24"/>
        </w:rPr>
        <w:t>The key goals for learning communities are to encourage integration of learning across courses, to involve students with “big questions” that matter beyond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54495E">
        <w:rPr>
          <w:rFonts w:ascii="Calibri" w:eastAsiaTheme="minorHAnsi" w:hAnsi="Calibri" w:cs="Calibri"/>
          <w:sz w:val="24"/>
          <w:szCs w:val="24"/>
        </w:rPr>
        <w:t>the classroom and to create a community of scholars. Many learning communities explore a common topic and/or common readings through the lenses of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54495E">
        <w:rPr>
          <w:rFonts w:ascii="Calibri" w:eastAsiaTheme="minorHAnsi" w:hAnsi="Calibri" w:cs="Calibri"/>
          <w:sz w:val="24"/>
          <w:szCs w:val="24"/>
        </w:rPr>
        <w:t>different disciplines. Some deliberately link “liberal arts” and “professional courses;” others feature service learning or another form of experiential learning</w:t>
      </w:r>
      <w:r w:rsidRPr="0054495E">
        <w:rPr>
          <w:rFonts w:ascii="Calibri" w:eastAsiaTheme="minorHAnsi" w:hAnsi="Calibri" w:cs="Calibri"/>
          <w:sz w:val="24"/>
          <w:szCs w:val="24"/>
        </w:rPr>
        <w:t>.</w:t>
      </w:r>
      <w:r w:rsidRPr="0054495E">
        <w:rPr>
          <w:rFonts w:ascii="Calibri" w:eastAsiaTheme="minorHAnsi" w:hAnsi="Calibri" w:cs="Calibri"/>
          <w:sz w:val="24"/>
          <w:szCs w:val="24"/>
          <w:u w:val="single"/>
        </w:rPr>
        <w:t xml:space="preserve"> </w:t>
      </w:r>
    </w:p>
    <w:p w14:paraId="7C622D2A" w14:textId="4A1DFD89" w:rsidR="00B7791B" w:rsidRPr="0054495E" w:rsidRDefault="0054495E" w:rsidP="0054495E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  <w:u w:val="single"/>
        </w:rPr>
      </w:pPr>
      <w:r w:rsidRPr="0054495E">
        <w:rPr>
          <w:rFonts w:ascii="Calibri" w:eastAsiaTheme="minorHAnsi" w:hAnsi="Calibri" w:cs="Calibri"/>
          <w:sz w:val="24"/>
          <w:szCs w:val="24"/>
          <w:u w:val="single"/>
        </w:rPr>
        <w:t xml:space="preserve">To qualify as a high-impact Learning Community, </w:t>
      </w:r>
      <w:r w:rsidRPr="0054495E">
        <w:rPr>
          <w:rFonts w:ascii="Calibri" w:eastAsiaTheme="minorHAnsi" w:hAnsi="Calibri" w:cs="Calibri"/>
          <w:b/>
          <w:bCs/>
          <w:sz w:val="24"/>
          <w:szCs w:val="24"/>
          <w:u w:val="single"/>
        </w:rPr>
        <w:t>the following five required key elements must be present</w:t>
      </w:r>
      <w:r w:rsidRPr="0054495E">
        <w:rPr>
          <w:rFonts w:ascii="Calibri" w:eastAsiaTheme="minorHAnsi" w:hAnsi="Calibri" w:cs="Calibri"/>
          <w:sz w:val="24"/>
          <w:szCs w:val="24"/>
          <w:u w:val="single"/>
        </w:rPr>
        <w:t>; other elements are strongly encouraged.</w:t>
      </w:r>
    </w:p>
    <w:tbl>
      <w:tblPr>
        <w:tblW w:w="12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01" w:type="dxa"/>
          <w:bottom w:w="72" w:type="dxa"/>
          <w:right w:w="101" w:type="dxa"/>
        </w:tblCellMar>
        <w:tblLook w:val="06A0" w:firstRow="1" w:lastRow="0" w:firstColumn="1" w:lastColumn="0" w:noHBand="1" w:noVBand="1"/>
      </w:tblPr>
      <w:tblGrid>
        <w:gridCol w:w="3510"/>
        <w:gridCol w:w="1332"/>
        <w:gridCol w:w="3798"/>
        <w:gridCol w:w="4310"/>
      </w:tblGrid>
      <w:tr w:rsidR="00B7791B" w:rsidRPr="00C15D66" w14:paraId="3F54AD65" w14:textId="77777777" w:rsidTr="00E863BF">
        <w:trPr>
          <w:trHeight w:val="220"/>
          <w:tblHeader/>
        </w:trPr>
        <w:tc>
          <w:tcPr>
            <w:tcW w:w="3510" w:type="dxa"/>
          </w:tcPr>
          <w:p w14:paraId="5D6B9519" w14:textId="7A1BF07D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Key Elements </w:t>
            </w:r>
          </w:p>
        </w:tc>
        <w:tc>
          <w:tcPr>
            <w:tcW w:w="1332" w:type="dxa"/>
          </w:tcPr>
          <w:p w14:paraId="0343CF0E" w14:textId="11D602CC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Required? </w:t>
            </w:r>
          </w:p>
        </w:tc>
        <w:tc>
          <w:tcPr>
            <w:tcW w:w="3798" w:type="dxa"/>
          </w:tcPr>
          <w:p w14:paraId="5B6AFFEF" w14:textId="5D33E865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Expected Features </w:t>
            </w:r>
          </w:p>
        </w:tc>
        <w:tc>
          <w:tcPr>
            <w:tcW w:w="4310" w:type="dxa"/>
          </w:tcPr>
          <w:p w14:paraId="32E96857" w14:textId="377A1C03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>Illustrative Examples</w:t>
            </w:r>
          </w:p>
        </w:tc>
      </w:tr>
      <w:tr w:rsidR="00B7791B" w:rsidRPr="00C15D66" w14:paraId="10B9EA66" w14:textId="77777777" w:rsidTr="00E863BF">
        <w:trPr>
          <w:trHeight w:val="1115"/>
        </w:trPr>
        <w:tc>
          <w:tcPr>
            <w:tcW w:w="3510" w:type="dxa"/>
          </w:tcPr>
          <w:p w14:paraId="2E8CC2BA" w14:textId="588EAEE0" w:rsidR="00B7791B" w:rsidRPr="00E863BF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t>Significant investment of time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and effort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by students over an extended </w:t>
            </w:r>
            <w:proofErr w:type="gramStart"/>
            <w:r w:rsidRPr="00E863BF">
              <w:rPr>
                <w:rFonts w:ascii="Calibri" w:eastAsiaTheme="minorHAnsi" w:hAnsi="Calibri" w:cs="Calibri"/>
                <w:b/>
                <w:bCs/>
              </w:rPr>
              <w:t>period of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time</w:t>
            </w:r>
            <w:proofErr w:type="gramEnd"/>
          </w:p>
        </w:tc>
        <w:tc>
          <w:tcPr>
            <w:tcW w:w="1332" w:type="dxa"/>
          </w:tcPr>
          <w:p w14:paraId="69171489" w14:textId="77777777" w:rsidR="00B7791B" w:rsidRPr="0054495E" w:rsidRDefault="00000000" w:rsidP="00C15D66">
            <w:pPr>
              <w:rPr>
                <w:rFonts w:ascii="Calibri" w:hAnsi="Calibri" w:cs="Calibri"/>
              </w:rPr>
            </w:pPr>
            <w:r w:rsidRPr="0054495E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798" w:type="dxa"/>
          </w:tcPr>
          <w:p w14:paraId="357BCA19" w14:textId="4DCB5AD2" w:rsidR="00B7791B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Students will participate in a learning community for at least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one semester (more likely one year).</w:t>
            </w:r>
          </w:p>
        </w:tc>
        <w:tc>
          <w:tcPr>
            <w:tcW w:w="4310" w:type="dxa"/>
            <w:tcMar>
              <w:top w:w="72" w:type="dxa"/>
              <w:left w:w="101" w:type="dxa"/>
              <w:bottom w:w="72" w:type="dxa"/>
              <w:right w:w="101" w:type="dxa"/>
            </w:tcMar>
          </w:tcPr>
          <w:p w14:paraId="0085311E" w14:textId="395328A6" w:rsidR="00B7791B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Live in a living learning community (LLC)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community for academic year;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professional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development sequences.</w:t>
            </w:r>
          </w:p>
        </w:tc>
      </w:tr>
      <w:tr w:rsidR="00B7791B" w:rsidRPr="00C15D66" w14:paraId="027D27A4" w14:textId="77777777" w:rsidTr="00E863BF">
        <w:trPr>
          <w:trHeight w:val="657"/>
        </w:trPr>
        <w:tc>
          <w:tcPr>
            <w:tcW w:w="3510" w:type="dxa"/>
          </w:tcPr>
          <w:p w14:paraId="1504295E" w14:textId="10813EF2" w:rsidR="00B7791B" w:rsidRPr="00E863BF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t>Interactions with faculty and peers about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substantive matters</w:t>
            </w:r>
          </w:p>
        </w:tc>
        <w:tc>
          <w:tcPr>
            <w:tcW w:w="1332" w:type="dxa"/>
          </w:tcPr>
          <w:p w14:paraId="5BB3BBE3" w14:textId="77777777" w:rsidR="00B7791B" w:rsidRPr="0054495E" w:rsidRDefault="00000000" w:rsidP="00C15D66">
            <w:pPr>
              <w:rPr>
                <w:rFonts w:ascii="Calibri" w:hAnsi="Calibri" w:cs="Calibri"/>
              </w:rPr>
            </w:pPr>
            <w:r w:rsidRPr="0054495E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798" w:type="dxa"/>
          </w:tcPr>
          <w:p w14:paraId="193BCAE9" w14:textId="7BC29AB1" w:rsidR="00B7791B" w:rsidRPr="0054495E" w:rsidRDefault="0054495E" w:rsidP="007E6673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Engagement in learning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community; participation in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events.</w:t>
            </w:r>
          </w:p>
        </w:tc>
        <w:tc>
          <w:tcPr>
            <w:tcW w:w="4310" w:type="dxa"/>
          </w:tcPr>
          <w:p w14:paraId="36C0189E" w14:textId="1B86155C" w:rsidR="00B7791B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Small group events; dormitory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programming; dining opportunities with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faculty; International Center nights; field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trips.</w:t>
            </w:r>
          </w:p>
        </w:tc>
      </w:tr>
      <w:tr w:rsidR="00B7791B" w:rsidRPr="00C15D66" w14:paraId="261C82CD" w14:textId="77777777" w:rsidTr="00E863BF">
        <w:trPr>
          <w:trHeight w:val="1977"/>
        </w:trPr>
        <w:tc>
          <w:tcPr>
            <w:tcW w:w="3510" w:type="dxa"/>
          </w:tcPr>
          <w:p w14:paraId="16666193" w14:textId="31C05F00" w:rsidR="00B7791B" w:rsidRPr="00E863BF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t>Experiences with diversity, wherein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students are exposed to and must contend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with people and circumstances that differ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from those with which students are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familiar</w:t>
            </w:r>
          </w:p>
        </w:tc>
        <w:tc>
          <w:tcPr>
            <w:tcW w:w="1332" w:type="dxa"/>
          </w:tcPr>
          <w:p w14:paraId="70B9F136" w14:textId="77777777" w:rsidR="00B7791B" w:rsidRPr="0054495E" w:rsidRDefault="00000000" w:rsidP="00C15D66">
            <w:pPr>
              <w:rPr>
                <w:rFonts w:ascii="Calibri" w:hAnsi="Calibri" w:cs="Calibri"/>
              </w:rPr>
            </w:pPr>
            <w:r w:rsidRPr="0054495E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798" w:type="dxa"/>
          </w:tcPr>
          <w:p w14:paraId="286786ED" w14:textId="77AAB9E5" w:rsidR="007E6673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Students live closely to and engage with other students from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different backgrounds and have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opportunity to learn more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about diversity via programming offered as part of LLC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experience.</w:t>
            </w:r>
          </w:p>
        </w:tc>
        <w:tc>
          <w:tcPr>
            <w:tcW w:w="4310" w:type="dxa"/>
          </w:tcPr>
          <w:p w14:paraId="46D2F562" w14:textId="6E8534A1" w:rsidR="00B7791B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Participation in intercultural events such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as Feast of Nations, the Writers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Conference, volunteer programs to assist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community members with tasks such as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tax preparation.</w:t>
            </w:r>
          </w:p>
        </w:tc>
      </w:tr>
      <w:tr w:rsidR="00B7791B" w:rsidRPr="00C15D66" w14:paraId="038BAD67" w14:textId="77777777" w:rsidTr="00E863BF">
        <w:trPr>
          <w:trHeight w:val="1098"/>
        </w:trPr>
        <w:tc>
          <w:tcPr>
            <w:tcW w:w="3510" w:type="dxa"/>
          </w:tcPr>
          <w:p w14:paraId="2F61818A" w14:textId="15045614" w:rsidR="0054495E" w:rsidRPr="00E863BF" w:rsidRDefault="0054495E" w:rsidP="0054495E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lastRenderedPageBreak/>
              <w:t>Opportunities to discover relevance of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learning through real-world applications</w:t>
            </w:r>
          </w:p>
          <w:p w14:paraId="4AB3516A" w14:textId="77777777" w:rsidR="0054495E" w:rsidRPr="00E863BF" w:rsidRDefault="0054495E" w:rsidP="0054495E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t>Or</w:t>
            </w:r>
          </w:p>
          <w:p w14:paraId="2ED2AFEA" w14:textId="5B6BD164" w:rsidR="00B7791B" w:rsidRPr="00E863BF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t>Opportunities to understand and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apply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discipline specific methodology</w:t>
            </w:r>
          </w:p>
        </w:tc>
        <w:tc>
          <w:tcPr>
            <w:tcW w:w="1332" w:type="dxa"/>
          </w:tcPr>
          <w:p w14:paraId="63B37BBF" w14:textId="1BFE4DE9" w:rsidR="00B7791B" w:rsidRPr="0054495E" w:rsidRDefault="007E6673" w:rsidP="00C15D66">
            <w:pPr>
              <w:rPr>
                <w:rFonts w:ascii="Calibr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3798" w:type="dxa"/>
          </w:tcPr>
          <w:p w14:paraId="779F431F" w14:textId="17AD4EEA" w:rsidR="00B7791B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LLCs opportunities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programming tied to academic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program (if applicable) or LLC mission and objectives.</w:t>
            </w:r>
          </w:p>
        </w:tc>
        <w:tc>
          <w:tcPr>
            <w:tcW w:w="4310" w:type="dxa"/>
          </w:tcPr>
          <w:p w14:paraId="0C82733D" w14:textId="401247FC" w:rsidR="00B7791B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Career development and preparation;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interview practice; networking with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professionals in one’s field; field trips.</w:t>
            </w:r>
          </w:p>
        </w:tc>
      </w:tr>
      <w:tr w:rsidR="00C15D66" w:rsidRPr="00C15D66" w14:paraId="0CBABEBD" w14:textId="77777777" w:rsidTr="00E863BF">
        <w:trPr>
          <w:trHeight w:val="917"/>
        </w:trPr>
        <w:tc>
          <w:tcPr>
            <w:tcW w:w="3510" w:type="dxa"/>
          </w:tcPr>
          <w:p w14:paraId="7CB5147C" w14:textId="54C65AA1" w:rsidR="00C15D66" w:rsidRPr="00E863BF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t>Periodic, structured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opportunities to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reflect and integrate learning</w:t>
            </w:r>
          </w:p>
        </w:tc>
        <w:tc>
          <w:tcPr>
            <w:tcW w:w="1332" w:type="dxa"/>
          </w:tcPr>
          <w:p w14:paraId="49DFE0F7" w14:textId="1DCC613E" w:rsidR="00C15D66" w:rsidRPr="0054495E" w:rsidRDefault="0054495E" w:rsidP="00C15D66">
            <w:pPr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3798" w:type="dxa"/>
          </w:tcPr>
          <w:p w14:paraId="2CC6509A" w14:textId="75DC218D" w:rsidR="00C15D66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Reflection and integration can take place as part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coursework, written assignments, or group discussions.</w:t>
            </w:r>
          </w:p>
        </w:tc>
        <w:tc>
          <w:tcPr>
            <w:tcW w:w="4310" w:type="dxa"/>
          </w:tcPr>
          <w:p w14:paraId="4F0EFADD" w14:textId="014E887D" w:rsidR="00C15D66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LLC tied to one-credit course that includes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reflection component; surveys; focus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groups.</w:t>
            </w:r>
          </w:p>
        </w:tc>
      </w:tr>
      <w:tr w:rsidR="00C15D66" w:rsidRPr="00C15D66" w14:paraId="65495E31" w14:textId="77777777" w:rsidTr="00E863BF">
        <w:trPr>
          <w:trHeight w:val="1098"/>
        </w:trPr>
        <w:tc>
          <w:tcPr>
            <w:tcW w:w="3510" w:type="dxa"/>
          </w:tcPr>
          <w:p w14:paraId="0182914F" w14:textId="77777777" w:rsidR="0054495E" w:rsidRPr="00E863BF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t>Performance expectations set at</w:t>
            </w:r>
          </w:p>
          <w:p w14:paraId="460744BE" w14:textId="090D3C80" w:rsidR="00C15D66" w:rsidRPr="00E863BF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t>appropriately high levels</w:t>
            </w:r>
          </w:p>
        </w:tc>
        <w:tc>
          <w:tcPr>
            <w:tcW w:w="1332" w:type="dxa"/>
          </w:tcPr>
          <w:p w14:paraId="1FE4FE19" w14:textId="58247C40" w:rsidR="00C15D66" w:rsidRPr="0054495E" w:rsidRDefault="0054495E" w:rsidP="00C15D66">
            <w:pPr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Encouraged</w:t>
            </w:r>
          </w:p>
        </w:tc>
        <w:tc>
          <w:tcPr>
            <w:tcW w:w="3798" w:type="dxa"/>
          </w:tcPr>
          <w:p w14:paraId="2EF4CD17" w14:textId="150A711B" w:rsidR="00C15D66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LLCs that are tied to an academic program may have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performance expectations. Good citizenship is also expected.</w:t>
            </w:r>
          </w:p>
        </w:tc>
        <w:tc>
          <w:tcPr>
            <w:tcW w:w="4310" w:type="dxa"/>
          </w:tcPr>
          <w:p w14:paraId="006CB431" w14:textId="3CD6CA73" w:rsidR="00C15D66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N/A</w:t>
            </w:r>
          </w:p>
        </w:tc>
      </w:tr>
      <w:tr w:rsidR="0054495E" w:rsidRPr="00C15D66" w14:paraId="389ADA4D" w14:textId="77777777" w:rsidTr="00E863BF">
        <w:trPr>
          <w:trHeight w:val="935"/>
        </w:trPr>
        <w:tc>
          <w:tcPr>
            <w:tcW w:w="3510" w:type="dxa"/>
          </w:tcPr>
          <w:p w14:paraId="313EAEC4" w14:textId="574AE9DE" w:rsidR="0054495E" w:rsidRPr="00E863BF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t>Frequent, timely, and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constructive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feedback</w:t>
            </w:r>
          </w:p>
        </w:tc>
        <w:tc>
          <w:tcPr>
            <w:tcW w:w="1332" w:type="dxa"/>
          </w:tcPr>
          <w:p w14:paraId="4CC35BA3" w14:textId="32FB85D6" w:rsidR="0054495E" w:rsidRPr="0054495E" w:rsidRDefault="0054495E" w:rsidP="0054495E">
            <w:pPr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Encouraged</w:t>
            </w:r>
          </w:p>
        </w:tc>
        <w:tc>
          <w:tcPr>
            <w:tcW w:w="3798" w:type="dxa"/>
          </w:tcPr>
          <w:p w14:paraId="7D9F4C29" w14:textId="1CEC9FFF" w:rsidR="0054495E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For LLCs tied to an academic program, feedback may include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different forms of mentoring.</w:t>
            </w:r>
          </w:p>
        </w:tc>
        <w:tc>
          <w:tcPr>
            <w:tcW w:w="4310" w:type="dxa"/>
          </w:tcPr>
          <w:p w14:paraId="6339B9D4" w14:textId="77DD3DB7" w:rsidR="0054495E" w:rsidRPr="0054495E" w:rsidRDefault="0054495E" w:rsidP="0054495E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Feedback on interview skills, attire,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54495E">
              <w:rPr>
                <w:rFonts w:ascii="Calibri" w:eastAsiaTheme="minorHAnsi" w:hAnsi="Calibri" w:cs="Calibri"/>
              </w:rPr>
              <w:t>application materials, etc.</w:t>
            </w:r>
          </w:p>
        </w:tc>
      </w:tr>
      <w:tr w:rsidR="003A1D0A" w:rsidRPr="00C15D66" w14:paraId="0D017F93" w14:textId="77777777" w:rsidTr="00E863BF">
        <w:trPr>
          <w:trHeight w:val="755"/>
        </w:trPr>
        <w:tc>
          <w:tcPr>
            <w:tcW w:w="3510" w:type="dxa"/>
          </w:tcPr>
          <w:p w14:paraId="647B64B4" w14:textId="02C59D1A" w:rsidR="003A1D0A" w:rsidRPr="00E863BF" w:rsidRDefault="0054495E" w:rsidP="003A1D0A">
            <w:pPr>
              <w:rPr>
                <w:rFonts w:ascii="Calibri" w:eastAsiaTheme="minorHAnsi" w:hAnsi="Calibri" w:cs="Calibri"/>
                <w:b/>
                <w:bCs/>
              </w:rPr>
            </w:pPr>
            <w:r w:rsidRPr="00E863BF">
              <w:rPr>
                <w:rFonts w:ascii="Calibri" w:eastAsiaTheme="minorHAnsi" w:hAnsi="Calibri" w:cs="Calibri"/>
                <w:b/>
                <w:bCs/>
              </w:rPr>
              <w:t>Public demonstration of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863BF">
              <w:rPr>
                <w:rFonts w:ascii="Calibri" w:eastAsiaTheme="minorHAnsi" w:hAnsi="Calibri" w:cs="Calibri"/>
                <w:b/>
                <w:bCs/>
              </w:rPr>
              <w:t>competence</w:t>
            </w:r>
          </w:p>
        </w:tc>
        <w:tc>
          <w:tcPr>
            <w:tcW w:w="1332" w:type="dxa"/>
          </w:tcPr>
          <w:p w14:paraId="6CD335EA" w14:textId="155B8C45" w:rsidR="003A1D0A" w:rsidRPr="0054495E" w:rsidRDefault="0054495E" w:rsidP="00C15D66">
            <w:pPr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Encouraged</w:t>
            </w:r>
          </w:p>
        </w:tc>
        <w:tc>
          <w:tcPr>
            <w:tcW w:w="3798" w:type="dxa"/>
          </w:tcPr>
          <w:p w14:paraId="7DC83AC1" w14:textId="746AEE3E" w:rsidR="003A1D0A" w:rsidRPr="0054495E" w:rsidRDefault="0054495E" w:rsidP="003A1D0A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May be tied to academic program standards.</w:t>
            </w:r>
          </w:p>
        </w:tc>
        <w:tc>
          <w:tcPr>
            <w:tcW w:w="4310" w:type="dxa"/>
          </w:tcPr>
          <w:p w14:paraId="0582FBC6" w14:textId="6D41EB4C" w:rsidR="003A1D0A" w:rsidRPr="0054495E" w:rsidRDefault="0054495E" w:rsidP="003A1D0A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54495E">
              <w:rPr>
                <w:rFonts w:ascii="Calibri" w:eastAsiaTheme="minorHAnsi" w:hAnsi="Calibri" w:cs="Calibri"/>
              </w:rPr>
              <w:t>N/A</w:t>
            </w:r>
          </w:p>
        </w:tc>
      </w:tr>
    </w:tbl>
    <w:p w14:paraId="2A03ABF7" w14:textId="77777777" w:rsidR="00D308A4" w:rsidRDefault="00D308A4" w:rsidP="00D308A4">
      <w:pPr>
        <w:spacing w:line="197" w:lineRule="exact"/>
        <w:rPr>
          <w:rFonts w:ascii="Calibri" w:hAnsi="Calibri" w:cs="Calibri"/>
          <w:w w:val="90"/>
          <w:sz w:val="20"/>
          <w:szCs w:val="20"/>
        </w:rPr>
      </w:pPr>
    </w:p>
    <w:p w14:paraId="100E2F6B" w14:textId="7171739A" w:rsidR="00B7791B" w:rsidRPr="00E863BF" w:rsidRDefault="00E863BF" w:rsidP="00E863BF">
      <w:pPr>
        <w:spacing w:line="197" w:lineRule="exact"/>
        <w:rPr>
          <w:rFonts w:ascii="Calibri" w:eastAsiaTheme="minorHAnsi" w:hAnsi="Calibri" w:cs="Calibri"/>
          <w:b/>
          <w:bCs/>
          <w:sz w:val="20"/>
          <w:szCs w:val="20"/>
        </w:rPr>
      </w:pPr>
      <w:r w:rsidRPr="00E863BF">
        <w:rPr>
          <w:rFonts w:ascii="Calibri" w:eastAsiaTheme="minorHAnsi" w:hAnsi="Calibri" w:cs="Calibri"/>
          <w:sz w:val="20"/>
          <w:szCs w:val="20"/>
        </w:rPr>
        <w:t>Developed by: Heather Terrell, Thyra Knapp, Kate Campbell, Fred Remer and Stuart Lickteig.</w:t>
      </w:r>
    </w:p>
    <w:sectPr w:rsidR="00B7791B" w:rsidRPr="00E863BF" w:rsidSect="00D308A4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B"/>
    <w:rsid w:val="000540D1"/>
    <w:rsid w:val="00173C1C"/>
    <w:rsid w:val="00280D01"/>
    <w:rsid w:val="003A1D0A"/>
    <w:rsid w:val="0054495E"/>
    <w:rsid w:val="0076375D"/>
    <w:rsid w:val="007E6673"/>
    <w:rsid w:val="00A77C10"/>
    <w:rsid w:val="00B7791B"/>
    <w:rsid w:val="00C15D66"/>
    <w:rsid w:val="00C877BE"/>
    <w:rsid w:val="00D308A4"/>
    <w:rsid w:val="00E863BF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78C5C"/>
  <w15:docId w15:val="{9B87DA88-BE54-314C-A5E8-5422994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5E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8A4"/>
    <w:pPr>
      <w:keepNext/>
      <w:keepLines/>
      <w:spacing w:before="24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8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0"/>
    </w:pPr>
  </w:style>
  <w:style w:type="character" w:customStyle="1" w:styleId="Heading1Char">
    <w:name w:val="Heading 1 Char"/>
    <w:basedOn w:val="DefaultParagraphFont"/>
    <w:link w:val="Heading1"/>
    <w:uiPriority w:val="9"/>
    <w:rsid w:val="00D308A4"/>
    <w:rPr>
      <w:rFonts w:ascii="Calibri" w:eastAsiaTheme="majorEastAsia" w:hAnsi="Calibr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Dettweiler, Martha</cp:lastModifiedBy>
  <cp:revision>2</cp:revision>
  <dcterms:created xsi:type="dcterms:W3CDTF">2025-03-18T12:47:00Z</dcterms:created>
  <dcterms:modified xsi:type="dcterms:W3CDTF">2025-03-18T12:47:00Z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Acrobat Pro 15.6.30418</vt:lpwstr>
  </property>
</Properties>
</file>