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8DB9" w14:textId="77777777" w:rsidR="0046360D" w:rsidRDefault="0046360D" w:rsidP="0046360D">
      <w:pPr>
        <w:pStyle w:val="Heading1"/>
        <w:spacing w:after="240"/>
        <w:jc w:val="center"/>
        <w:rPr>
          <w:rFonts w:eastAsiaTheme="minorHAnsi"/>
        </w:rPr>
      </w:pPr>
      <w:r>
        <w:rPr>
          <w:rFonts w:eastAsiaTheme="minorHAnsi"/>
        </w:rPr>
        <w:t>HIGH-IMPACT SERVICE/COMMUNITY-BASED LEARNING @UND</w:t>
      </w:r>
    </w:p>
    <w:p w14:paraId="0CF7F2BD" w14:textId="27252344" w:rsidR="0046360D" w:rsidRPr="0046360D" w:rsidRDefault="0046360D" w:rsidP="0046360D">
      <w:pPr>
        <w:widowControl/>
        <w:adjustRightInd w:val="0"/>
        <w:spacing w:after="240" w:line="276" w:lineRule="auto"/>
        <w:rPr>
          <w:rFonts w:ascii="Calibri" w:eastAsiaTheme="minorHAnsi" w:hAnsi="Calibri" w:cs="Calibri"/>
          <w:sz w:val="24"/>
          <w:szCs w:val="24"/>
        </w:rPr>
      </w:pPr>
      <w:r w:rsidRPr="0046360D">
        <w:rPr>
          <w:rFonts w:ascii="Calibri" w:eastAsiaTheme="minorHAnsi" w:hAnsi="Calibri" w:cs="Calibri"/>
          <w:sz w:val="24"/>
          <w:szCs w:val="24"/>
        </w:rPr>
        <w:t>In these projects, field-based “experiential learning” with community partners is an instructional strategy—and often a required part of the course. The idea is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46360D">
        <w:rPr>
          <w:rFonts w:ascii="Calibri" w:eastAsiaTheme="minorHAnsi" w:hAnsi="Calibri" w:cs="Calibri"/>
          <w:sz w:val="24"/>
          <w:szCs w:val="24"/>
        </w:rPr>
        <w:t>to give students direct experience with issues they are studying in the curriculum and with ongoing efforts to analyze and solve problems in the community. A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46360D">
        <w:rPr>
          <w:rFonts w:ascii="Calibri" w:eastAsiaTheme="minorHAnsi" w:hAnsi="Calibri" w:cs="Calibri"/>
          <w:sz w:val="24"/>
          <w:szCs w:val="24"/>
        </w:rPr>
        <w:t>key element in these projects is the opportunity students have to both apply what they are learning in real-world settings and reflect in a classroom setting on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46360D">
        <w:rPr>
          <w:rFonts w:ascii="Calibri" w:eastAsiaTheme="minorHAnsi" w:hAnsi="Calibri" w:cs="Calibri"/>
          <w:sz w:val="24"/>
          <w:szCs w:val="24"/>
        </w:rPr>
        <w:t>their service experiences. These projects model the idea that giving something back to the community is an important college outcome, and that working with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46360D">
        <w:rPr>
          <w:rFonts w:ascii="Calibri" w:eastAsiaTheme="minorHAnsi" w:hAnsi="Calibri" w:cs="Calibri"/>
          <w:sz w:val="24"/>
          <w:szCs w:val="24"/>
        </w:rPr>
        <w:t>community partners is good preparation for citizenship, work, and life.</w:t>
      </w:r>
    </w:p>
    <w:p w14:paraId="7C622D2A" w14:textId="0D1E9858" w:rsidR="00B7791B" w:rsidRPr="0046360D" w:rsidRDefault="0046360D" w:rsidP="0046360D">
      <w:pPr>
        <w:widowControl/>
        <w:adjustRightInd w:val="0"/>
        <w:spacing w:after="240" w:line="276" w:lineRule="auto"/>
        <w:rPr>
          <w:rFonts w:ascii="Calibri" w:eastAsiaTheme="minorHAnsi" w:hAnsi="Calibri" w:cs="Calibri"/>
          <w:sz w:val="24"/>
          <w:szCs w:val="24"/>
          <w:u w:val="single"/>
        </w:rPr>
      </w:pPr>
      <w:r w:rsidRPr="0046360D">
        <w:rPr>
          <w:rFonts w:ascii="Calibri" w:eastAsiaTheme="minorHAnsi" w:hAnsi="Calibri" w:cs="Calibri"/>
          <w:sz w:val="24"/>
          <w:szCs w:val="24"/>
          <w:u w:val="single"/>
        </w:rPr>
        <w:t xml:space="preserve">To qualify as a high-impact service/community-based learning activity, </w:t>
      </w:r>
      <w:r w:rsidRPr="0046360D">
        <w:rPr>
          <w:rFonts w:ascii="Calibri" w:eastAsiaTheme="minorHAnsi" w:hAnsi="Calibri" w:cs="Calibri"/>
          <w:b/>
          <w:bCs/>
          <w:sz w:val="24"/>
          <w:szCs w:val="24"/>
          <w:u w:val="single"/>
        </w:rPr>
        <w:t>the following four required key elements must be present,</w:t>
      </w:r>
      <w:r w:rsidRPr="0046360D">
        <w:rPr>
          <w:rFonts w:ascii="Calibri" w:eastAsiaTheme="minorHAnsi" w:hAnsi="Calibri" w:cs="Calibri"/>
          <w:b/>
          <w:bCs/>
          <w:sz w:val="24"/>
          <w:szCs w:val="24"/>
          <w:u w:val="single"/>
        </w:rPr>
        <w:t xml:space="preserve"> </w:t>
      </w:r>
      <w:r w:rsidRPr="0046360D">
        <w:rPr>
          <w:rFonts w:ascii="Calibri" w:eastAsiaTheme="minorHAnsi" w:hAnsi="Calibri" w:cs="Calibri"/>
          <w:b/>
          <w:bCs/>
          <w:sz w:val="24"/>
          <w:szCs w:val="24"/>
          <w:u w:val="single"/>
        </w:rPr>
        <w:t>along with two additional</w:t>
      </w:r>
      <w:r w:rsidRPr="0046360D">
        <w:rPr>
          <w:rFonts w:ascii="Calibri" w:eastAsiaTheme="minorHAnsi" w:hAnsi="Calibri" w:cs="Calibri"/>
          <w:b/>
          <w:bCs/>
          <w:sz w:val="24"/>
          <w:szCs w:val="24"/>
          <w:u w:val="single"/>
        </w:rPr>
        <w:t xml:space="preserve"> </w:t>
      </w:r>
      <w:r w:rsidRPr="0046360D">
        <w:rPr>
          <w:rFonts w:ascii="Calibri" w:eastAsiaTheme="minorHAnsi" w:hAnsi="Calibri" w:cs="Calibri"/>
          <w:b/>
          <w:bCs/>
          <w:sz w:val="24"/>
          <w:szCs w:val="24"/>
          <w:u w:val="single"/>
        </w:rPr>
        <w:t>recommended elements.</w:t>
      </w:r>
    </w:p>
    <w:tbl>
      <w:tblPr>
        <w:tblW w:w="129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01" w:type="dxa"/>
          <w:bottom w:w="72" w:type="dxa"/>
          <w:right w:w="101" w:type="dxa"/>
        </w:tblCellMar>
        <w:tblLook w:val="06A0" w:firstRow="1" w:lastRow="0" w:firstColumn="1" w:lastColumn="0" w:noHBand="1" w:noVBand="1"/>
      </w:tblPr>
      <w:tblGrid>
        <w:gridCol w:w="2880"/>
        <w:gridCol w:w="1620"/>
        <w:gridCol w:w="3690"/>
        <w:gridCol w:w="4807"/>
      </w:tblGrid>
      <w:tr w:rsidR="00B7791B" w:rsidRPr="00C15D66" w14:paraId="3F54AD65" w14:textId="77777777" w:rsidTr="004776CC">
        <w:trPr>
          <w:trHeight w:val="220"/>
          <w:tblHeader/>
        </w:trPr>
        <w:tc>
          <w:tcPr>
            <w:tcW w:w="2880" w:type="dxa"/>
          </w:tcPr>
          <w:p w14:paraId="5D6B9519" w14:textId="7A1BF07D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Key Elements </w:t>
            </w:r>
          </w:p>
        </w:tc>
        <w:tc>
          <w:tcPr>
            <w:tcW w:w="1620" w:type="dxa"/>
          </w:tcPr>
          <w:p w14:paraId="0343CF0E" w14:textId="11D602CC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Required? </w:t>
            </w:r>
          </w:p>
        </w:tc>
        <w:tc>
          <w:tcPr>
            <w:tcW w:w="3690" w:type="dxa"/>
          </w:tcPr>
          <w:p w14:paraId="5B6AFFEF" w14:textId="5D33E865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Expected Features </w:t>
            </w:r>
          </w:p>
        </w:tc>
        <w:tc>
          <w:tcPr>
            <w:tcW w:w="4807" w:type="dxa"/>
          </w:tcPr>
          <w:p w14:paraId="32E96857" w14:textId="377A1C03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>Illustrative Examples</w:t>
            </w:r>
          </w:p>
        </w:tc>
      </w:tr>
      <w:tr w:rsidR="00B7791B" w:rsidRPr="00C15D66" w14:paraId="10B9EA66" w14:textId="77777777" w:rsidTr="004776CC">
        <w:trPr>
          <w:trHeight w:val="557"/>
        </w:trPr>
        <w:tc>
          <w:tcPr>
            <w:tcW w:w="2880" w:type="dxa"/>
          </w:tcPr>
          <w:p w14:paraId="2E8CC2BA" w14:textId="34B4483F" w:rsidR="00B7791B" w:rsidRPr="004776CC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4776CC">
              <w:rPr>
                <w:rFonts w:ascii="Calibri" w:eastAsiaTheme="minorHAnsi" w:hAnsi="Calibri" w:cs="Calibri"/>
                <w:b/>
                <w:bCs/>
              </w:rPr>
              <w:t>Significant investment of time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>and effort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>by students</w:t>
            </w:r>
          </w:p>
        </w:tc>
        <w:tc>
          <w:tcPr>
            <w:tcW w:w="1620" w:type="dxa"/>
          </w:tcPr>
          <w:p w14:paraId="69171489" w14:textId="77777777" w:rsidR="00B7791B" w:rsidRPr="0046360D" w:rsidRDefault="00000000" w:rsidP="00C15D66">
            <w:pPr>
              <w:rPr>
                <w:rFonts w:ascii="Calibri" w:hAnsi="Calibri" w:cs="Calibri"/>
              </w:rPr>
            </w:pPr>
            <w:r w:rsidRPr="0046360D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3690" w:type="dxa"/>
          </w:tcPr>
          <w:p w14:paraId="357BCA19" w14:textId="57EED667" w:rsidR="00B7791B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Service Learning experience will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include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investment of time for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investigating community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needs,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preparing for service, action,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reflection,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and evaluation on a single cohesive project,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either individually or as part of a group.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Significant amount of direct contact service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hours (i.e. 10-20 hours if a three-credit class)</w:t>
            </w:r>
          </w:p>
        </w:tc>
        <w:tc>
          <w:tcPr>
            <w:tcW w:w="4807" w:type="dxa"/>
            <w:tcMar>
              <w:top w:w="72" w:type="dxa"/>
              <w:left w:w="101" w:type="dxa"/>
              <w:bottom w:w="72" w:type="dxa"/>
              <w:right w:w="101" w:type="dxa"/>
            </w:tcMar>
          </w:tcPr>
          <w:p w14:paraId="0085311E" w14:textId="73898892" w:rsidR="00B7791B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Prior to work at a local homeless shelter, students spend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multiple class periods studying the social issues that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often lead to homelessness, public and private support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mechanisms, and the nature of the local homeless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population’s demographics. After the field experience a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significant number of class periods are spent considering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the similarities and differences between the academic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considerations related to the topic of homelessness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student observations from their work at the shelter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itself.</w:t>
            </w:r>
          </w:p>
        </w:tc>
      </w:tr>
      <w:tr w:rsidR="00B7791B" w:rsidRPr="00C15D66" w14:paraId="261C82CD" w14:textId="77777777" w:rsidTr="004776CC">
        <w:trPr>
          <w:trHeight w:val="2087"/>
        </w:trPr>
        <w:tc>
          <w:tcPr>
            <w:tcW w:w="2880" w:type="dxa"/>
          </w:tcPr>
          <w:p w14:paraId="16666193" w14:textId="6459538B" w:rsidR="00B7791B" w:rsidRPr="004776CC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4776CC">
              <w:rPr>
                <w:rFonts w:ascii="Calibri" w:eastAsiaTheme="minorHAnsi" w:hAnsi="Calibri" w:cs="Calibri"/>
                <w:b/>
                <w:bCs/>
              </w:rPr>
              <w:lastRenderedPageBreak/>
              <w:t>Periodic, structured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>opportunities to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>reflect and integrate learning</w:t>
            </w:r>
          </w:p>
        </w:tc>
        <w:tc>
          <w:tcPr>
            <w:tcW w:w="1620" w:type="dxa"/>
          </w:tcPr>
          <w:p w14:paraId="70B9F136" w14:textId="77777777" w:rsidR="00B7791B" w:rsidRPr="0046360D" w:rsidRDefault="00000000" w:rsidP="00C15D66">
            <w:pPr>
              <w:rPr>
                <w:rFonts w:ascii="Calibri" w:hAnsi="Calibri" w:cs="Calibri"/>
              </w:rPr>
            </w:pPr>
            <w:r w:rsidRPr="0046360D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3690" w:type="dxa"/>
          </w:tcPr>
          <w:p w14:paraId="286786ED" w14:textId="05CF6015" w:rsidR="007E6673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Activities that require students to consider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lessons learned from both traditional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experiential elements of the course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integrate them into a broader understanding of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an issue</w:t>
            </w:r>
          </w:p>
        </w:tc>
        <w:tc>
          <w:tcPr>
            <w:tcW w:w="4807" w:type="dxa"/>
          </w:tcPr>
          <w:p w14:paraId="51376D32" w14:textId="1F6433C9" w:rsidR="0046360D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Pre-, mid-, and post-service written and oral reflections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that ask students to set goals for their service and reflect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on outcomes, in terms of impact on both the community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and the student’s growth; discussions of how their class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readings will inform their approach at the service site;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final paper which asks students to analyze ways their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service reinforced or complicated their learning from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traditional class activities.</w:t>
            </w:r>
          </w:p>
          <w:p w14:paraId="46D2F562" w14:textId="58857E02" w:rsidR="00B7791B" w:rsidRPr="0046360D" w:rsidRDefault="00B7791B" w:rsidP="00E15CE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</w:p>
        </w:tc>
      </w:tr>
      <w:tr w:rsidR="00B7791B" w:rsidRPr="00C15D66" w14:paraId="038BAD67" w14:textId="77777777" w:rsidTr="004776CC">
        <w:trPr>
          <w:trHeight w:val="1098"/>
        </w:trPr>
        <w:tc>
          <w:tcPr>
            <w:tcW w:w="2880" w:type="dxa"/>
          </w:tcPr>
          <w:p w14:paraId="6FED1F5D" w14:textId="25213824" w:rsidR="0046360D" w:rsidRPr="004776CC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4776CC">
              <w:rPr>
                <w:rFonts w:ascii="Calibri" w:eastAsiaTheme="minorHAnsi" w:hAnsi="Calibri" w:cs="Calibri"/>
                <w:b/>
                <w:bCs/>
              </w:rPr>
              <w:t>Interactions with faculty, peers, and/or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>community partners about substantive</w:t>
            </w:r>
          </w:p>
          <w:p w14:paraId="2ED2AFEA" w14:textId="76D918C2" w:rsidR="00B7791B" w:rsidRPr="004776CC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4776CC">
              <w:rPr>
                <w:rFonts w:ascii="Calibri" w:eastAsiaTheme="minorHAnsi" w:hAnsi="Calibri" w:cs="Calibri"/>
                <w:b/>
                <w:bCs/>
              </w:rPr>
              <w:t>matters</w:t>
            </w:r>
          </w:p>
        </w:tc>
        <w:tc>
          <w:tcPr>
            <w:tcW w:w="1620" w:type="dxa"/>
          </w:tcPr>
          <w:p w14:paraId="63B37BBF" w14:textId="1BFE4DE9" w:rsidR="00B7791B" w:rsidRPr="0046360D" w:rsidRDefault="007E6673" w:rsidP="00C15D66">
            <w:pPr>
              <w:rPr>
                <w:rFonts w:ascii="Calibr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3690" w:type="dxa"/>
          </w:tcPr>
          <w:p w14:paraId="779F431F" w14:textId="5507311A" w:rsidR="00B7791B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Activities that allow students to consider the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broader context of their service-learning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experience</w:t>
            </w:r>
          </w:p>
        </w:tc>
        <w:tc>
          <w:tcPr>
            <w:tcW w:w="4807" w:type="dxa"/>
          </w:tcPr>
          <w:p w14:paraId="0C82733D" w14:textId="4ADAA259" w:rsidR="00B7791B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Discussion of articles which look at the origins of the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social problem; guest speakers who offer various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perspectives on solutions; a group paper which proposes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a creative solution; an advocacy project which pushes for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change at the policy level.</w:t>
            </w:r>
          </w:p>
        </w:tc>
      </w:tr>
      <w:tr w:rsidR="00C15D66" w:rsidRPr="00C15D66" w14:paraId="0CBABEBD" w14:textId="77777777" w:rsidTr="004776CC">
        <w:trPr>
          <w:trHeight w:val="1098"/>
        </w:trPr>
        <w:tc>
          <w:tcPr>
            <w:tcW w:w="2880" w:type="dxa"/>
          </w:tcPr>
          <w:p w14:paraId="7CB5147C" w14:textId="7535A80E" w:rsidR="00C15D66" w:rsidRPr="004776CC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4776CC">
              <w:rPr>
                <w:rFonts w:ascii="Calibri" w:eastAsiaTheme="minorHAnsi" w:hAnsi="Calibri" w:cs="Calibri"/>
                <w:b/>
                <w:bCs/>
              </w:rPr>
              <w:t>Opportunities to discover relevance of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>learning through real-world applications</w:t>
            </w:r>
          </w:p>
        </w:tc>
        <w:tc>
          <w:tcPr>
            <w:tcW w:w="1620" w:type="dxa"/>
          </w:tcPr>
          <w:p w14:paraId="49DFE0F7" w14:textId="377412EC" w:rsidR="00C15D66" w:rsidRPr="0046360D" w:rsidRDefault="0046360D" w:rsidP="00C15D66">
            <w:pPr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3690" w:type="dxa"/>
          </w:tcPr>
          <w:p w14:paraId="2CC6509A" w14:textId="150749CB" w:rsidR="00C15D66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Students are provided with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opportunities to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understand that the service/community-based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learning project connects to a need or issue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experienced by or relevant to a community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partner, or the learning corresponds to an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activity that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contributes to the campus, local,</w:t>
            </w:r>
            <w:r w:rsidRPr="0046360D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state, regional, national, or international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community.</w:t>
            </w:r>
          </w:p>
        </w:tc>
        <w:tc>
          <w:tcPr>
            <w:tcW w:w="4807" w:type="dxa"/>
          </w:tcPr>
          <w:p w14:paraId="4F0EFADD" w14:textId="0C33371A" w:rsidR="00C15D66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Students in a music course, both through their study of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different musical genres and their understanding of the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local community, select pieces, rehearse, create a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performance space, publicize, and perform at a local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cultural event.</w:t>
            </w:r>
          </w:p>
        </w:tc>
      </w:tr>
      <w:tr w:rsidR="00C15D66" w:rsidRPr="00C15D66" w14:paraId="65495E31" w14:textId="77777777" w:rsidTr="004776CC">
        <w:trPr>
          <w:trHeight w:val="1098"/>
        </w:trPr>
        <w:tc>
          <w:tcPr>
            <w:tcW w:w="2880" w:type="dxa"/>
          </w:tcPr>
          <w:p w14:paraId="460744BE" w14:textId="3D0218D8" w:rsidR="00C15D66" w:rsidRPr="004776CC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4776CC">
              <w:rPr>
                <w:rFonts w:ascii="Calibri" w:eastAsiaTheme="minorHAnsi" w:hAnsi="Calibri" w:cs="Calibri"/>
                <w:b/>
                <w:bCs/>
              </w:rPr>
              <w:t>Performance expectations set at</w:t>
            </w:r>
            <w:r w:rsidR="004776CC" w:rsidRPr="004776CC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>appropriately high levels</w:t>
            </w:r>
          </w:p>
        </w:tc>
        <w:tc>
          <w:tcPr>
            <w:tcW w:w="1620" w:type="dxa"/>
          </w:tcPr>
          <w:p w14:paraId="1FE4FE19" w14:textId="3FB66225" w:rsidR="00C15D66" w:rsidRPr="0046360D" w:rsidRDefault="0046360D" w:rsidP="00C15D66">
            <w:pPr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690" w:type="dxa"/>
          </w:tcPr>
          <w:p w14:paraId="2EF4CD17" w14:textId="75A48A54" w:rsidR="00C15D66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Performance expectations should reflect a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meaningful synthesis between academic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knowledge and real-world experiences.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Students are prepared to make a positive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lastRenderedPageBreak/>
              <w:t>contribution and display professional behaviors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at the service learning site.</w:t>
            </w:r>
          </w:p>
        </w:tc>
        <w:tc>
          <w:tcPr>
            <w:tcW w:w="4807" w:type="dxa"/>
          </w:tcPr>
          <w:p w14:paraId="006CB431" w14:textId="0A1DACF4" w:rsidR="00C15D66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lastRenderedPageBreak/>
              <w:t>Repeated presentations and/or staged writing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assignments foster improvement in both oral and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written communication; a sophisticated level of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analysis,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research and/or hands-on experience related to the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 xml:space="preserve">service learning project; classroom </w:t>
            </w:r>
            <w:r w:rsidRPr="0046360D">
              <w:rPr>
                <w:rFonts w:ascii="Calibri" w:eastAsiaTheme="minorHAnsi" w:hAnsi="Calibri" w:cs="Calibri"/>
              </w:rPr>
              <w:lastRenderedPageBreak/>
              <w:t>role playing activities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are used to prepare for the community-based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experience; guest speakers from the community partner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addresses the class as a way to orient students to the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experience.</w:t>
            </w:r>
          </w:p>
        </w:tc>
      </w:tr>
      <w:tr w:rsidR="0046360D" w:rsidRPr="00C15D66" w14:paraId="19F0AE53" w14:textId="77777777" w:rsidTr="004776CC">
        <w:trPr>
          <w:trHeight w:val="827"/>
        </w:trPr>
        <w:tc>
          <w:tcPr>
            <w:tcW w:w="2880" w:type="dxa"/>
          </w:tcPr>
          <w:p w14:paraId="5265E3F6" w14:textId="648235C8" w:rsidR="0046360D" w:rsidRPr="004776CC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4776CC">
              <w:rPr>
                <w:rFonts w:ascii="Calibri" w:eastAsiaTheme="minorHAnsi" w:hAnsi="Calibri" w:cs="Calibri"/>
                <w:b/>
                <w:bCs/>
              </w:rPr>
              <w:lastRenderedPageBreak/>
              <w:t>Experiences with diversity, wherein</w:t>
            </w:r>
            <w:r w:rsidR="004776CC" w:rsidRPr="004776CC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>students are exposed to people,</w:t>
            </w:r>
            <w:r w:rsidR="004776CC" w:rsidRPr="004776CC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>circumstances, and ideas that differ from</w:t>
            </w:r>
            <w:r w:rsidR="004776CC" w:rsidRPr="004776CC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>those with which they are familiar</w:t>
            </w:r>
          </w:p>
        </w:tc>
        <w:tc>
          <w:tcPr>
            <w:tcW w:w="1620" w:type="dxa"/>
          </w:tcPr>
          <w:p w14:paraId="29E73B65" w14:textId="1C8902A6" w:rsidR="0046360D" w:rsidRPr="0046360D" w:rsidRDefault="0046360D" w:rsidP="0046360D">
            <w:pPr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690" w:type="dxa"/>
          </w:tcPr>
          <w:p w14:paraId="26DE622B" w14:textId="394828D6" w:rsidR="0046360D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Opportunities to interact with diverse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populations from different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backgrounds on or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off campus and/or opportunities to apply in</w:t>
            </w:r>
            <w:r w:rsidR="004776CC">
              <w:rPr>
                <w:rFonts w:ascii="Calibri" w:eastAsiaTheme="minorHAnsi" w:hAnsi="Calibri" w:cs="Calibri"/>
              </w:rPr>
              <w:t>-</w:t>
            </w:r>
            <w:r w:rsidRPr="0046360D">
              <w:rPr>
                <w:rFonts w:ascii="Calibri" w:eastAsiaTheme="minorHAnsi" w:hAnsi="Calibri" w:cs="Calibri"/>
              </w:rPr>
              <w:t>depth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knowledge of diversity and cultural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competence to contemporary issues.</w:t>
            </w:r>
          </w:p>
        </w:tc>
        <w:tc>
          <w:tcPr>
            <w:tcW w:w="4807" w:type="dxa"/>
          </w:tcPr>
          <w:p w14:paraId="6D9D9B9D" w14:textId="77777777" w:rsidR="0046360D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Service-learning projects interacting with diverse</w:t>
            </w:r>
          </w:p>
          <w:p w14:paraId="5267B797" w14:textId="77777777" w:rsidR="0046360D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populations or backgrounds that differ from that of</w:t>
            </w:r>
          </w:p>
          <w:p w14:paraId="3C68C23F" w14:textId="0EFFB3B6" w:rsidR="0046360D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students; Reflection component incorporating discussion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of larger societal issues (i.e. related to socioeconomic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status, oppression, privilege) surrounding diverse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populations, including one’s own place in society; Public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performances where students have an opportunity to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interact with a diverse audience.</w:t>
            </w:r>
          </w:p>
        </w:tc>
      </w:tr>
      <w:tr w:rsidR="0046360D" w:rsidRPr="00C15D66" w14:paraId="5545E138" w14:textId="77777777" w:rsidTr="004776CC">
        <w:trPr>
          <w:trHeight w:val="1098"/>
        </w:trPr>
        <w:tc>
          <w:tcPr>
            <w:tcW w:w="2880" w:type="dxa"/>
          </w:tcPr>
          <w:p w14:paraId="12B6882D" w14:textId="047DC264" w:rsidR="0046360D" w:rsidRPr="004776CC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4776CC">
              <w:rPr>
                <w:rFonts w:ascii="Calibri" w:eastAsiaTheme="minorHAnsi" w:hAnsi="Calibri" w:cs="Calibri"/>
                <w:b/>
                <w:bCs/>
              </w:rPr>
              <w:t>Frequent, timely, and constructive</w:t>
            </w:r>
            <w:r w:rsidR="004776CC" w:rsidRPr="004776CC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4776CC">
              <w:rPr>
                <w:rFonts w:ascii="Calibri" w:eastAsiaTheme="minorHAnsi" w:hAnsi="Calibri" w:cs="Calibri"/>
                <w:b/>
                <w:bCs/>
              </w:rPr>
              <w:t>feedback</w:t>
            </w:r>
          </w:p>
        </w:tc>
        <w:tc>
          <w:tcPr>
            <w:tcW w:w="1620" w:type="dxa"/>
          </w:tcPr>
          <w:p w14:paraId="7F92F039" w14:textId="3C6568A9" w:rsidR="0046360D" w:rsidRPr="0046360D" w:rsidRDefault="0046360D" w:rsidP="0046360D">
            <w:pPr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690" w:type="dxa"/>
          </w:tcPr>
          <w:p w14:paraId="4316BEA8" w14:textId="4158F825" w:rsidR="0046360D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Students will be provided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opportunities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throughout the service learning experience to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process their progress toward meeting the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intended service learning objectives with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faculty, students, and the community being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served.</w:t>
            </w:r>
          </w:p>
        </w:tc>
        <w:tc>
          <w:tcPr>
            <w:tcW w:w="4807" w:type="dxa"/>
          </w:tcPr>
          <w:p w14:paraId="5A9D07EC" w14:textId="3963C925" w:rsidR="0046360D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Specific check points should be built into the service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learning experience through activities such as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conversations, writing assignments, and a final reflection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assignment – to gather evidence of the student’s level of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engagement, understanding, and performance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throughout the service learning project.</w:t>
            </w:r>
          </w:p>
        </w:tc>
      </w:tr>
      <w:tr w:rsidR="0046360D" w:rsidRPr="00C15D66" w14:paraId="0C704CE6" w14:textId="77777777" w:rsidTr="004776CC">
        <w:trPr>
          <w:trHeight w:val="1098"/>
        </w:trPr>
        <w:tc>
          <w:tcPr>
            <w:tcW w:w="2880" w:type="dxa"/>
          </w:tcPr>
          <w:p w14:paraId="481FEFD4" w14:textId="335B1E09" w:rsidR="0046360D" w:rsidRPr="004776CC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4776CC">
              <w:rPr>
                <w:rFonts w:ascii="Calibri" w:eastAsiaTheme="minorHAnsi" w:hAnsi="Calibri" w:cs="Calibri"/>
                <w:b/>
                <w:bCs/>
              </w:rPr>
              <w:t>Public demonstration of competence</w:t>
            </w:r>
          </w:p>
        </w:tc>
        <w:tc>
          <w:tcPr>
            <w:tcW w:w="1620" w:type="dxa"/>
          </w:tcPr>
          <w:p w14:paraId="0C4077C7" w14:textId="5D16AB40" w:rsidR="0046360D" w:rsidRPr="0046360D" w:rsidRDefault="0046360D" w:rsidP="0046360D">
            <w:pPr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690" w:type="dxa"/>
          </w:tcPr>
          <w:p w14:paraId="203FC604" w14:textId="6660F87F" w:rsidR="0046360D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Activities demonstrate reflection, integration,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and knowledge regarding the service learning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project; activities directly impact a broader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(public) audience or the outcome of the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activity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is delivered in a public venue.</w:t>
            </w:r>
          </w:p>
        </w:tc>
        <w:tc>
          <w:tcPr>
            <w:tcW w:w="4807" w:type="dxa"/>
          </w:tcPr>
          <w:p w14:paraId="2AB5305D" w14:textId="35C616B2" w:rsidR="0046360D" w:rsidRPr="0046360D" w:rsidRDefault="0046360D" w:rsidP="004776CC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Activities would be at the entity in which service learning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occurred</w:t>
            </w:r>
          </w:p>
          <w:p w14:paraId="0AB8FD2E" w14:textId="6E8E6161" w:rsidR="0046360D" w:rsidRPr="0046360D" w:rsidRDefault="0046360D" w:rsidP="004776CC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Activity provides entity with useful information that the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entity can use to build upon</w:t>
            </w:r>
          </w:p>
          <w:p w14:paraId="499C4E2F" w14:textId="53E479EB" w:rsidR="0046360D" w:rsidRPr="0046360D" w:rsidRDefault="0046360D" w:rsidP="0046360D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6360D">
              <w:rPr>
                <w:rFonts w:ascii="Calibri" w:eastAsiaTheme="minorHAnsi" w:hAnsi="Calibri" w:cs="Calibri"/>
              </w:rPr>
              <w:t>Activity is professional and representative of the</w:t>
            </w:r>
            <w:r w:rsidR="004776CC">
              <w:rPr>
                <w:rFonts w:ascii="Calibri" w:eastAsiaTheme="minorHAnsi" w:hAnsi="Calibri" w:cs="Calibri"/>
              </w:rPr>
              <w:t xml:space="preserve"> </w:t>
            </w:r>
            <w:r w:rsidRPr="0046360D">
              <w:rPr>
                <w:rFonts w:ascii="Calibri" w:eastAsiaTheme="minorHAnsi" w:hAnsi="Calibri" w:cs="Calibri"/>
              </w:rPr>
              <w:t>University of North Dakota</w:t>
            </w:r>
          </w:p>
        </w:tc>
      </w:tr>
    </w:tbl>
    <w:p w14:paraId="2A03ABF7" w14:textId="77777777" w:rsidR="00D308A4" w:rsidRDefault="00D308A4" w:rsidP="00D308A4">
      <w:pPr>
        <w:spacing w:line="197" w:lineRule="exact"/>
        <w:rPr>
          <w:rFonts w:ascii="Calibri" w:hAnsi="Calibri" w:cs="Calibri"/>
          <w:w w:val="90"/>
          <w:sz w:val="20"/>
          <w:szCs w:val="20"/>
        </w:rPr>
      </w:pPr>
    </w:p>
    <w:p w14:paraId="100E2F6B" w14:textId="35C42464" w:rsidR="00B7791B" w:rsidRPr="0046360D" w:rsidRDefault="0046360D" w:rsidP="0046360D">
      <w:pPr>
        <w:spacing w:line="197" w:lineRule="exact"/>
        <w:rPr>
          <w:rFonts w:ascii="Calibri" w:eastAsiaTheme="minorHAnsi" w:hAnsi="Calibri" w:cs="Calibri"/>
          <w:b/>
          <w:bCs/>
          <w:sz w:val="20"/>
          <w:szCs w:val="20"/>
        </w:rPr>
      </w:pPr>
      <w:r w:rsidRPr="0046360D">
        <w:rPr>
          <w:rFonts w:ascii="Calibri" w:eastAsiaTheme="minorHAnsi" w:hAnsi="Calibri" w:cs="Calibri"/>
          <w:sz w:val="20"/>
          <w:szCs w:val="20"/>
        </w:rPr>
        <w:t>Developed by Ryan Zerr, Robin David, Nariaki Sugiura, Kaylee Scheer, Stephanie Christian, Susan Zelewski, Carla Steen and Lisa Burger.</w:t>
      </w:r>
    </w:p>
    <w:sectPr w:rsidR="00B7791B" w:rsidRPr="0046360D" w:rsidSect="00D308A4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B"/>
    <w:rsid w:val="000540D1"/>
    <w:rsid w:val="00173C1C"/>
    <w:rsid w:val="00280D01"/>
    <w:rsid w:val="003A1D0A"/>
    <w:rsid w:val="0046360D"/>
    <w:rsid w:val="004776CC"/>
    <w:rsid w:val="00575F23"/>
    <w:rsid w:val="0076375D"/>
    <w:rsid w:val="00774A8A"/>
    <w:rsid w:val="007E6673"/>
    <w:rsid w:val="00897B4A"/>
    <w:rsid w:val="009A3384"/>
    <w:rsid w:val="00AB392E"/>
    <w:rsid w:val="00B7791B"/>
    <w:rsid w:val="00C15D66"/>
    <w:rsid w:val="00C877BE"/>
    <w:rsid w:val="00D308A4"/>
    <w:rsid w:val="00E15CE6"/>
    <w:rsid w:val="00ED0D74"/>
    <w:rsid w:val="00F0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78C5C"/>
  <w15:docId w15:val="{9B87DA88-BE54-314C-A5E8-5422994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0D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8A4"/>
    <w:pPr>
      <w:keepNext/>
      <w:keepLines/>
      <w:spacing w:before="240"/>
      <w:outlineLvl w:val="0"/>
    </w:pPr>
    <w:rPr>
      <w:rFonts w:ascii="Calibri" w:eastAsiaTheme="majorEastAsia" w:hAnsi="Calibr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spacing w:before="8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10"/>
    </w:pPr>
  </w:style>
  <w:style w:type="character" w:customStyle="1" w:styleId="Heading1Char">
    <w:name w:val="Heading 1 Char"/>
    <w:basedOn w:val="DefaultParagraphFont"/>
    <w:link w:val="Heading1"/>
    <w:uiPriority w:val="9"/>
    <w:rsid w:val="00D308A4"/>
    <w:rPr>
      <w:rFonts w:ascii="Calibri" w:eastAsiaTheme="majorEastAsia" w:hAnsi="Calibr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Dettweiler, Martha</cp:lastModifiedBy>
  <cp:revision>2</cp:revision>
  <dcterms:created xsi:type="dcterms:W3CDTF">2025-03-18T13:10:00Z</dcterms:created>
  <dcterms:modified xsi:type="dcterms:W3CDTF">2025-03-18T13:10:00Z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Word</vt:lpwstr>
  </property>
  <property fmtid="{D5CDD505-2E9C-101B-9397-08002B2CF9AE}" pid="4" name="LastSaved">
    <vt:filetime>2025-03-17T00:00:00Z</vt:filetime>
  </property>
  <property fmtid="{D5CDD505-2E9C-101B-9397-08002B2CF9AE}" pid="5" name="Producer">
    <vt:lpwstr>Acrobat Pro 15.6.30418</vt:lpwstr>
  </property>
</Properties>
</file>