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294C" w14:textId="75B07815" w:rsidR="00974E4F" w:rsidRDefault="00974E4F" w:rsidP="00974E4F">
      <w:pPr>
        <w:pStyle w:val="Heading1"/>
        <w:spacing w:after="240"/>
        <w:jc w:val="center"/>
        <w:rPr>
          <w:rFonts w:eastAsiaTheme="minorHAnsi" w:cs="Calibri"/>
          <w:sz w:val="24"/>
          <w:szCs w:val="24"/>
        </w:rPr>
      </w:pPr>
      <w:r>
        <w:rPr>
          <w:rFonts w:eastAsiaTheme="minorHAnsi"/>
        </w:rPr>
        <w:t>HIGH-IMPACT UNDERGRADUATE RESEARCH EXPERIENCES @UND</w:t>
      </w:r>
    </w:p>
    <w:p w14:paraId="17D620F5" w14:textId="456A9F9E" w:rsidR="00974E4F" w:rsidRPr="00974E4F" w:rsidRDefault="00974E4F" w:rsidP="00974E4F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</w:rPr>
      </w:pPr>
      <w:r w:rsidRPr="00974E4F">
        <w:rPr>
          <w:rFonts w:ascii="Calibri" w:eastAsiaTheme="minorHAnsi" w:hAnsi="Calibri" w:cs="Calibri"/>
          <w:sz w:val="24"/>
          <w:szCs w:val="24"/>
        </w:rPr>
        <w:t>UND is providing undergraduate research experiences for students in many disciplines. Faculty are reshaping courses to connect key concepts and questions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974E4F">
        <w:rPr>
          <w:rFonts w:ascii="Calibri" w:eastAsiaTheme="minorHAnsi" w:hAnsi="Calibri" w:cs="Calibri"/>
          <w:sz w:val="24"/>
          <w:szCs w:val="24"/>
        </w:rPr>
        <w:t>with students’ early and active involvement in systematic investigation and research. The goal is to involve students with actively contested questions,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974E4F">
        <w:rPr>
          <w:rFonts w:ascii="Calibri" w:eastAsiaTheme="minorHAnsi" w:hAnsi="Calibri" w:cs="Calibri"/>
          <w:sz w:val="24"/>
          <w:szCs w:val="24"/>
        </w:rPr>
        <w:t>empirical observation, cutting-edge technologies, and the sense of excitement that comes from working to answer important questions.</w:t>
      </w:r>
      <w:r w:rsidRPr="00974E4F">
        <w:rPr>
          <w:rFonts w:ascii="Calibri" w:eastAsiaTheme="minorHAnsi" w:hAnsi="Calibri" w:cs="Calibri"/>
          <w:sz w:val="24"/>
          <w:szCs w:val="24"/>
          <w:u w:val="single"/>
        </w:rPr>
        <w:t xml:space="preserve"> </w:t>
      </w:r>
    </w:p>
    <w:p w14:paraId="7C622D2A" w14:textId="4869F30D" w:rsidR="00B7791B" w:rsidRPr="00974E4F" w:rsidRDefault="00974E4F" w:rsidP="00974E4F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  <w:u w:val="single"/>
        </w:rPr>
      </w:pPr>
      <w:r w:rsidRPr="00974E4F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undergraduate research experience, </w:t>
      </w:r>
      <w:r w:rsidRPr="00974E4F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six required key elements must be present, with the remaining two elements</w:t>
      </w:r>
      <w:r w:rsidRPr="00974E4F">
        <w:rPr>
          <w:rFonts w:ascii="Calibri" w:eastAsiaTheme="minorHAnsi" w:hAnsi="Calibri" w:cs="Calibri"/>
          <w:b/>
          <w:bCs/>
          <w:sz w:val="24"/>
          <w:szCs w:val="24"/>
          <w:u w:val="single"/>
        </w:rPr>
        <w:t xml:space="preserve"> </w:t>
      </w:r>
      <w:r w:rsidRPr="00974E4F">
        <w:rPr>
          <w:rFonts w:ascii="Calibri" w:eastAsiaTheme="minorHAnsi" w:hAnsi="Calibri" w:cs="Calibri"/>
          <w:b/>
          <w:bCs/>
          <w:sz w:val="24"/>
          <w:szCs w:val="24"/>
          <w:u w:val="single"/>
        </w:rPr>
        <w:t>encouraged.</w:t>
      </w:r>
    </w:p>
    <w:tbl>
      <w:tblPr>
        <w:tblW w:w="12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3150"/>
        <w:gridCol w:w="1350"/>
        <w:gridCol w:w="4050"/>
        <w:gridCol w:w="4447"/>
      </w:tblGrid>
      <w:tr w:rsidR="00B7791B" w:rsidRPr="00C15D66" w14:paraId="3F54AD65" w14:textId="77777777" w:rsidTr="000E1D69">
        <w:trPr>
          <w:trHeight w:val="220"/>
          <w:tblHeader/>
        </w:trPr>
        <w:tc>
          <w:tcPr>
            <w:tcW w:w="3150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350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4050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447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0E1D69">
        <w:trPr>
          <w:trHeight w:val="557"/>
        </w:trPr>
        <w:tc>
          <w:tcPr>
            <w:tcW w:w="3150" w:type="dxa"/>
          </w:tcPr>
          <w:p w14:paraId="2E8CC2BA" w14:textId="2777D4E3" w:rsidR="00B7791B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Performance expectations set at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appropriately high levels</w:t>
            </w:r>
          </w:p>
        </w:tc>
        <w:tc>
          <w:tcPr>
            <w:tcW w:w="1350" w:type="dxa"/>
          </w:tcPr>
          <w:p w14:paraId="69171489" w14:textId="5F924F53" w:rsidR="00B7791B" w:rsidRPr="00974E4F" w:rsidRDefault="00974E4F" w:rsidP="00C15D66">
            <w:pPr>
              <w:rPr>
                <w:rFonts w:ascii="Calibr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050" w:type="dxa"/>
          </w:tcPr>
          <w:p w14:paraId="357BCA19" w14:textId="19603D1E" w:rsidR="00B7791B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Performance expectations should be appropriate for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level of education, class standing, and prior 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experience.</w:t>
            </w:r>
          </w:p>
        </w:tc>
        <w:tc>
          <w:tcPr>
            <w:tcW w:w="4447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085311E" w14:textId="7B2B5A5D" w:rsidR="00B7791B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Conducting a literature review, administering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experimental procedures.</w:t>
            </w:r>
          </w:p>
        </w:tc>
      </w:tr>
      <w:tr w:rsidR="00B7791B" w:rsidRPr="00C15D66" w14:paraId="261C82CD" w14:textId="77777777" w:rsidTr="000E1D69">
        <w:trPr>
          <w:trHeight w:val="899"/>
        </w:trPr>
        <w:tc>
          <w:tcPr>
            <w:tcW w:w="3150" w:type="dxa"/>
          </w:tcPr>
          <w:p w14:paraId="16666193" w14:textId="1BD89B3D" w:rsidR="00B7791B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Significant investment of time and effort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by students over an extended </w:t>
            </w:r>
            <w:proofErr w:type="gramStart"/>
            <w:r w:rsidRPr="000E1D69">
              <w:rPr>
                <w:rFonts w:ascii="Calibri" w:eastAsiaTheme="minorHAnsi" w:hAnsi="Calibri" w:cs="Calibri"/>
                <w:b/>
                <w:bCs/>
              </w:rPr>
              <w:t>period of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time</w:t>
            </w:r>
            <w:proofErr w:type="gramEnd"/>
          </w:p>
        </w:tc>
        <w:tc>
          <w:tcPr>
            <w:tcW w:w="1350" w:type="dxa"/>
          </w:tcPr>
          <w:p w14:paraId="70B9F136" w14:textId="7FC99924" w:rsidR="00B7791B" w:rsidRPr="00974E4F" w:rsidRDefault="00974E4F" w:rsidP="00C15D66">
            <w:pPr>
              <w:rPr>
                <w:rFonts w:ascii="Calibr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050" w:type="dxa"/>
          </w:tcPr>
          <w:p w14:paraId="286786ED" w14:textId="203C41D3" w:rsidR="007E6673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An activity that comprises at least one credit worth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work, and often would be more.</w:t>
            </w:r>
          </w:p>
        </w:tc>
        <w:tc>
          <w:tcPr>
            <w:tcW w:w="4447" w:type="dxa"/>
          </w:tcPr>
          <w:p w14:paraId="46D2F562" w14:textId="6B09DE6E" w:rsidR="00B7791B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Investment of time tied to number of credit hours</w:t>
            </w:r>
            <w:r w:rsidR="000E1D69"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or other form of compensation throughout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course of a semester (or longer).</w:t>
            </w:r>
            <w:r w:rsidRPr="00974E4F">
              <w:rPr>
                <w:rFonts w:ascii="Calibri" w:eastAsiaTheme="minorHAnsi" w:hAnsi="Calibri" w:cs="Calibri"/>
              </w:rPr>
              <w:t xml:space="preserve"> </w:t>
            </w:r>
          </w:p>
        </w:tc>
      </w:tr>
      <w:tr w:rsidR="00974E4F" w:rsidRPr="00C15D66" w14:paraId="038BAD67" w14:textId="77777777" w:rsidTr="000E1D69">
        <w:trPr>
          <w:trHeight w:val="1098"/>
        </w:trPr>
        <w:tc>
          <w:tcPr>
            <w:tcW w:w="3150" w:type="dxa"/>
          </w:tcPr>
          <w:p w14:paraId="2ED2AFEA" w14:textId="58D675C0" w:rsidR="00974E4F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Interactions with faculty and peers about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substantive matters</w:t>
            </w:r>
          </w:p>
        </w:tc>
        <w:tc>
          <w:tcPr>
            <w:tcW w:w="1350" w:type="dxa"/>
          </w:tcPr>
          <w:p w14:paraId="63B37BBF" w14:textId="78208062" w:rsidR="00974E4F" w:rsidRPr="00974E4F" w:rsidRDefault="00974E4F" w:rsidP="00974E4F">
            <w:pPr>
              <w:rPr>
                <w:rFonts w:ascii="Calibr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050" w:type="dxa"/>
          </w:tcPr>
          <w:p w14:paraId="779F431F" w14:textId="4B68588F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Research experiences that promote student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interaction with faculty, peers, and/or other members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of their discipline, which contribute to their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knowledge.</w:t>
            </w:r>
          </w:p>
        </w:tc>
        <w:tc>
          <w:tcPr>
            <w:tcW w:w="4447" w:type="dxa"/>
          </w:tcPr>
          <w:p w14:paraId="01174871" w14:textId="77777777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As part of undergraduate research experience,</w:t>
            </w:r>
          </w:p>
          <w:p w14:paraId="0C82733D" w14:textId="4AC537C8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students should work closely with faculty, graduate</w:t>
            </w:r>
            <w:r w:rsidR="000E1D69"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students, and/or other peers to accomplish</w:t>
            </w:r>
            <w:r w:rsidR="000E1D69"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research goals. Research experience may take place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in a lab setting, as part of a larger course, or under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some other form of supervision (e.g. assisting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editing a journal).</w:t>
            </w:r>
          </w:p>
        </w:tc>
      </w:tr>
      <w:tr w:rsidR="00974E4F" w:rsidRPr="00C15D66" w14:paraId="0CBABEBD" w14:textId="77777777" w:rsidTr="000E1D69">
        <w:trPr>
          <w:trHeight w:val="1098"/>
        </w:trPr>
        <w:tc>
          <w:tcPr>
            <w:tcW w:w="3150" w:type="dxa"/>
          </w:tcPr>
          <w:p w14:paraId="7CB5147C" w14:textId="7254D0B9" w:rsidR="00974E4F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lastRenderedPageBreak/>
              <w:t>Frequent, timely, and constructive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feedback</w:t>
            </w:r>
          </w:p>
        </w:tc>
        <w:tc>
          <w:tcPr>
            <w:tcW w:w="1350" w:type="dxa"/>
          </w:tcPr>
          <w:p w14:paraId="49DFE0F7" w14:textId="3C640451" w:rsidR="00974E4F" w:rsidRPr="00974E4F" w:rsidRDefault="00974E4F" w:rsidP="00974E4F">
            <w:pPr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050" w:type="dxa"/>
          </w:tcPr>
          <w:p w14:paraId="2CC6509A" w14:textId="18DC2678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Feedback can come from faculty, lab supervisors,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peers, and/or other people assisting with research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can be written or verbal.</w:t>
            </w:r>
          </w:p>
        </w:tc>
        <w:tc>
          <w:tcPr>
            <w:tcW w:w="4447" w:type="dxa"/>
          </w:tcPr>
          <w:p w14:paraId="4F0EFADD" w14:textId="3BB52FDF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Small group discussions or lab meetings; student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lead presentations; feedback on performance;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feedback on drafts of papers, posters, 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presentations; attendance at out-of-class events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such as conferences which provide opportunities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dialogue with peers, faculty and/or community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partners.</w:t>
            </w:r>
          </w:p>
        </w:tc>
      </w:tr>
      <w:tr w:rsidR="00974E4F" w:rsidRPr="00C15D66" w14:paraId="65495E31" w14:textId="77777777" w:rsidTr="000E1D69">
        <w:trPr>
          <w:trHeight w:val="1098"/>
        </w:trPr>
        <w:tc>
          <w:tcPr>
            <w:tcW w:w="3150" w:type="dxa"/>
          </w:tcPr>
          <w:p w14:paraId="460744BE" w14:textId="38B063B5" w:rsidR="00974E4F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Periodic, structured opportunities to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reflect and integrate learning</w:t>
            </w:r>
          </w:p>
        </w:tc>
        <w:tc>
          <w:tcPr>
            <w:tcW w:w="1350" w:type="dxa"/>
          </w:tcPr>
          <w:p w14:paraId="1FE4FE19" w14:textId="6863014B" w:rsidR="00974E4F" w:rsidRPr="00974E4F" w:rsidRDefault="00974E4F" w:rsidP="00974E4F">
            <w:pPr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050" w:type="dxa"/>
          </w:tcPr>
          <w:p w14:paraId="2EF4CD17" w14:textId="0D74DF50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Students should be given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opportunity to reflect 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what they have learned and should be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encouraged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make connections to other coursework as well as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future educational goals.</w:t>
            </w:r>
          </w:p>
        </w:tc>
        <w:tc>
          <w:tcPr>
            <w:tcW w:w="4447" w:type="dxa"/>
          </w:tcPr>
          <w:p w14:paraId="006CB431" w14:textId="2B3F1EF7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Reflection papers; literature reviews; development</w:t>
            </w:r>
            <w:r w:rsidR="000E1D69"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of CV or resume with opportunity for feedback.</w:t>
            </w:r>
          </w:p>
        </w:tc>
      </w:tr>
      <w:tr w:rsidR="00974E4F" w:rsidRPr="00C15D66" w14:paraId="19F0AE53" w14:textId="77777777" w:rsidTr="000E1D69">
        <w:trPr>
          <w:trHeight w:val="827"/>
        </w:trPr>
        <w:tc>
          <w:tcPr>
            <w:tcW w:w="3150" w:type="dxa"/>
          </w:tcPr>
          <w:p w14:paraId="6AA14AE0" w14:textId="56A2922F" w:rsidR="00974E4F" w:rsidRPr="000E1D69" w:rsidRDefault="00974E4F" w:rsidP="00974E4F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Opportunities to discover relevance of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learning through real-world applications</w:t>
            </w:r>
          </w:p>
          <w:p w14:paraId="217CC5AE" w14:textId="77777777" w:rsidR="00974E4F" w:rsidRPr="000E1D69" w:rsidRDefault="00974E4F" w:rsidP="00974E4F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Or</w:t>
            </w:r>
          </w:p>
          <w:p w14:paraId="5265E3F6" w14:textId="6139FB73" w:rsidR="00974E4F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Opportunities to understand and apply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discipline specific methodology</w:t>
            </w:r>
          </w:p>
        </w:tc>
        <w:tc>
          <w:tcPr>
            <w:tcW w:w="1350" w:type="dxa"/>
          </w:tcPr>
          <w:p w14:paraId="29E73B65" w14:textId="43D1D436" w:rsidR="00974E4F" w:rsidRPr="00974E4F" w:rsidRDefault="00974E4F" w:rsidP="00974E4F">
            <w:pPr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050" w:type="dxa"/>
          </w:tcPr>
          <w:p w14:paraId="26DE622B" w14:textId="22B98996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In the case of undergraduate research, either making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connections to real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world applications OR being given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the opportunity to understand and apply 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methods appropriate to one’s discipline are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acceptable.</w:t>
            </w:r>
          </w:p>
        </w:tc>
        <w:tc>
          <w:tcPr>
            <w:tcW w:w="4447" w:type="dxa"/>
          </w:tcPr>
          <w:p w14:paraId="3C68C23F" w14:textId="53410405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Conducting research (carrying out experimental</w:t>
            </w:r>
            <w:r w:rsidR="000E1D69"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procedures); data analysis; assisting with writing up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papers for publication; learning about publication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process.</w:t>
            </w:r>
          </w:p>
        </w:tc>
      </w:tr>
      <w:tr w:rsidR="00974E4F" w:rsidRPr="00C15D66" w14:paraId="5545E138" w14:textId="77777777" w:rsidTr="000E1D69">
        <w:trPr>
          <w:trHeight w:val="1098"/>
        </w:trPr>
        <w:tc>
          <w:tcPr>
            <w:tcW w:w="3150" w:type="dxa"/>
          </w:tcPr>
          <w:p w14:paraId="12B6882D" w14:textId="3A5E091D" w:rsidR="00974E4F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t>Experiences with diversity, wherein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students are exposed to and must contend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with people and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circumstances that differ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from those with which students are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1D69">
              <w:rPr>
                <w:rFonts w:ascii="Calibri" w:eastAsiaTheme="minorHAnsi" w:hAnsi="Calibri" w:cs="Calibri"/>
                <w:b/>
                <w:bCs/>
              </w:rPr>
              <w:t>familiar</w:t>
            </w:r>
          </w:p>
        </w:tc>
        <w:tc>
          <w:tcPr>
            <w:tcW w:w="1350" w:type="dxa"/>
          </w:tcPr>
          <w:p w14:paraId="7F92F039" w14:textId="3253F8C4" w:rsidR="00974E4F" w:rsidRPr="00974E4F" w:rsidRDefault="00974E4F" w:rsidP="00974E4F">
            <w:pPr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4050" w:type="dxa"/>
          </w:tcPr>
          <w:p w14:paraId="4316BEA8" w14:textId="156B5E6C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Opportunities to demonstrate intercultural awareness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and skills through significant interaction with others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from different backgrounds and/or opportunities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apply in-depth knowledge of diversity and cultural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competence to contemporary issues.</w:t>
            </w:r>
          </w:p>
        </w:tc>
        <w:tc>
          <w:tcPr>
            <w:tcW w:w="4447" w:type="dxa"/>
          </w:tcPr>
          <w:p w14:paraId="5A9D07EC" w14:textId="1D7F0BC6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May vary based on discipline and type of research.</w:t>
            </w:r>
          </w:p>
        </w:tc>
      </w:tr>
      <w:tr w:rsidR="00974E4F" w:rsidRPr="00C15D66" w14:paraId="0C704CE6" w14:textId="77777777" w:rsidTr="000E1D69">
        <w:trPr>
          <w:trHeight w:val="1098"/>
        </w:trPr>
        <w:tc>
          <w:tcPr>
            <w:tcW w:w="3150" w:type="dxa"/>
          </w:tcPr>
          <w:p w14:paraId="481FEFD4" w14:textId="46B28A8F" w:rsidR="00974E4F" w:rsidRPr="000E1D69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1D69">
              <w:rPr>
                <w:rFonts w:ascii="Calibri" w:eastAsiaTheme="minorHAnsi" w:hAnsi="Calibri" w:cs="Calibri"/>
                <w:b/>
                <w:bCs/>
              </w:rPr>
              <w:lastRenderedPageBreak/>
              <w:t>Public demonstration of competence</w:t>
            </w:r>
          </w:p>
        </w:tc>
        <w:tc>
          <w:tcPr>
            <w:tcW w:w="1350" w:type="dxa"/>
          </w:tcPr>
          <w:p w14:paraId="0C4077C7" w14:textId="3F87D239" w:rsidR="00974E4F" w:rsidRPr="00974E4F" w:rsidRDefault="00974E4F" w:rsidP="00974E4F">
            <w:pPr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4050" w:type="dxa"/>
          </w:tcPr>
          <w:p w14:paraId="203FC604" w14:textId="17E41A96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Students demonstrate competence publicly in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format relevant to their field of study. This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demonstration should provide students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opportunity to showcase integrated learning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throughout their course of study.</w:t>
            </w:r>
          </w:p>
        </w:tc>
        <w:tc>
          <w:tcPr>
            <w:tcW w:w="4447" w:type="dxa"/>
          </w:tcPr>
          <w:p w14:paraId="499C4E2F" w14:textId="5048C9A8" w:rsidR="00974E4F" w:rsidRPr="00974E4F" w:rsidRDefault="00974E4F" w:rsidP="00974E4F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74E4F">
              <w:rPr>
                <w:rFonts w:ascii="Calibri" w:eastAsiaTheme="minorHAnsi" w:hAnsi="Calibri" w:cs="Calibri"/>
              </w:rPr>
              <w:t>A public talk; presenting a poster at a campus-wide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research event; a public art exhibit; a public recital;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74E4F">
              <w:rPr>
                <w:rFonts w:ascii="Calibri" w:eastAsiaTheme="minorHAnsi" w:hAnsi="Calibri" w:cs="Calibri"/>
              </w:rPr>
              <w:t>an engineering design expo.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36851622" w:rsidR="00B7791B" w:rsidRPr="00974E4F" w:rsidRDefault="00974E4F" w:rsidP="00974E4F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974E4F">
        <w:rPr>
          <w:rFonts w:ascii="Calibri" w:eastAsiaTheme="minorHAnsi" w:hAnsi="Calibri" w:cs="Calibri"/>
          <w:sz w:val="20"/>
          <w:szCs w:val="20"/>
        </w:rPr>
        <w:t>Developed by Heather Terrell, Becky Simmons, Becky Weaver-Hightower, Glenda Lindseth, Amanda Boyd, Matt Gilmore, Van Doze and Wayne Seames.</w:t>
      </w:r>
    </w:p>
    <w:sectPr w:rsidR="00B7791B" w:rsidRPr="00974E4F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40D1"/>
    <w:rsid w:val="000E1D69"/>
    <w:rsid w:val="00173C1C"/>
    <w:rsid w:val="00280D01"/>
    <w:rsid w:val="003A1D0A"/>
    <w:rsid w:val="0046360D"/>
    <w:rsid w:val="004776CC"/>
    <w:rsid w:val="00575F23"/>
    <w:rsid w:val="0076375D"/>
    <w:rsid w:val="00774A8A"/>
    <w:rsid w:val="007E6673"/>
    <w:rsid w:val="00897B4A"/>
    <w:rsid w:val="00974E4F"/>
    <w:rsid w:val="009A3384"/>
    <w:rsid w:val="00AB392E"/>
    <w:rsid w:val="00B7791B"/>
    <w:rsid w:val="00C15D66"/>
    <w:rsid w:val="00C877BE"/>
    <w:rsid w:val="00D308A4"/>
    <w:rsid w:val="00E15CE6"/>
    <w:rsid w:val="00ED0D74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0D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2</cp:revision>
  <dcterms:created xsi:type="dcterms:W3CDTF">2025-03-18T13:30:00Z</dcterms:created>
  <dcterms:modified xsi:type="dcterms:W3CDTF">2025-03-18T13:30:00Z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