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B658" w14:textId="77777777" w:rsidR="00434DB0" w:rsidRDefault="00434DB0" w:rsidP="00434DB0">
      <w:pPr>
        <w:pStyle w:val="Heading1"/>
        <w:spacing w:after="240"/>
        <w:jc w:val="center"/>
        <w:rPr>
          <w:rFonts w:eastAsiaTheme="minorHAnsi"/>
        </w:rPr>
      </w:pPr>
      <w:r>
        <w:rPr>
          <w:rFonts w:eastAsiaTheme="minorHAnsi"/>
        </w:rPr>
        <w:t>WRITING-INTENSIVE HIPS @UND</w:t>
      </w:r>
    </w:p>
    <w:p w14:paraId="4B95A44E" w14:textId="02B22AE7" w:rsidR="00434DB0" w:rsidRPr="00434DB0" w:rsidRDefault="00434DB0" w:rsidP="00434DB0">
      <w:pPr>
        <w:widowControl/>
        <w:adjustRightInd w:val="0"/>
        <w:spacing w:after="240" w:line="276" w:lineRule="auto"/>
        <w:rPr>
          <w:rFonts w:ascii="Calibri" w:eastAsiaTheme="minorHAnsi" w:hAnsi="Calibri" w:cs="Calibri"/>
          <w:sz w:val="24"/>
          <w:szCs w:val="24"/>
        </w:rPr>
      </w:pPr>
      <w:r w:rsidRPr="00434DB0">
        <w:rPr>
          <w:rFonts w:ascii="Calibri" w:eastAsiaTheme="minorHAnsi" w:hAnsi="Calibri" w:cs="Calibri"/>
          <w:sz w:val="24"/>
          <w:szCs w:val="24"/>
        </w:rPr>
        <w:t>Writing-intensive (WI) courses emphasize writing across the curriculum and in many genres. Writing assignments are linked directly to the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34DB0">
        <w:rPr>
          <w:rFonts w:ascii="Calibri" w:eastAsiaTheme="minorHAnsi" w:hAnsi="Calibri" w:cs="Calibri"/>
          <w:sz w:val="24"/>
          <w:szCs w:val="24"/>
        </w:rPr>
        <w:t>progression of course material and are integral steps towards building comprehension of core threshold concepts or primary course learning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34DB0">
        <w:rPr>
          <w:rFonts w:ascii="Calibri" w:eastAsiaTheme="minorHAnsi" w:hAnsi="Calibri" w:cs="Calibri"/>
          <w:sz w:val="24"/>
          <w:szCs w:val="24"/>
        </w:rPr>
        <w:t>goals (that is, they are woven into the course fabric, not simply stitched onto the surface). As such, student writing is required regularly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34DB0">
        <w:rPr>
          <w:rFonts w:ascii="Calibri" w:eastAsiaTheme="minorHAnsi" w:hAnsi="Calibri" w:cs="Calibri"/>
          <w:sz w:val="24"/>
          <w:szCs w:val="24"/>
        </w:rPr>
        <w:t>throughout the course and assessed on a weekly or biweekly basis, and assignments are sequenced so that they facilitate both improvement in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34DB0">
        <w:rPr>
          <w:rFonts w:ascii="Calibri" w:eastAsiaTheme="minorHAnsi" w:hAnsi="Calibri" w:cs="Calibri"/>
          <w:sz w:val="24"/>
          <w:szCs w:val="24"/>
        </w:rPr>
        <w:t>student writing and mastery of course learning goals. Revision of written work is central and timely feedback from teaching staff is essential.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34DB0">
        <w:rPr>
          <w:rFonts w:ascii="Calibri" w:eastAsiaTheme="minorHAnsi" w:hAnsi="Calibri" w:cs="Calibri"/>
          <w:sz w:val="24"/>
          <w:szCs w:val="24"/>
        </w:rPr>
        <w:t>Feedback should be both written and spoken, and should include both conferences between student and instructor, and peer review/feedback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34DB0">
        <w:rPr>
          <w:rFonts w:ascii="Calibri" w:eastAsiaTheme="minorHAnsi" w:hAnsi="Calibri" w:cs="Calibri"/>
          <w:sz w:val="24"/>
          <w:szCs w:val="24"/>
        </w:rPr>
        <w:t>from classmates. WI courses should be small or have small sections and a significant portion of the student’s final grade in the course should be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34DB0">
        <w:rPr>
          <w:rFonts w:ascii="Calibri" w:eastAsiaTheme="minorHAnsi" w:hAnsi="Calibri" w:cs="Calibri"/>
          <w:sz w:val="24"/>
          <w:szCs w:val="24"/>
        </w:rPr>
        <w:t>determined by the quality of the student’s thought expressed in writing.</w:t>
      </w:r>
    </w:p>
    <w:p w14:paraId="7C622D2A" w14:textId="1F009689" w:rsidR="00B7791B" w:rsidRPr="00434DB0" w:rsidRDefault="00434DB0" w:rsidP="00434DB0">
      <w:pPr>
        <w:widowControl/>
        <w:adjustRightInd w:val="0"/>
        <w:spacing w:after="240" w:line="276" w:lineRule="auto"/>
        <w:rPr>
          <w:rFonts w:ascii="Calibri" w:eastAsiaTheme="minorHAnsi" w:hAnsi="Calibri" w:cs="Calibri"/>
          <w:b/>
          <w:bCs/>
          <w:sz w:val="24"/>
          <w:szCs w:val="24"/>
          <w:u w:val="single"/>
        </w:rPr>
      </w:pPr>
      <w:r w:rsidRPr="00434DB0">
        <w:rPr>
          <w:rFonts w:ascii="Calibri" w:eastAsiaTheme="minorHAnsi" w:hAnsi="Calibri" w:cs="Calibri"/>
          <w:sz w:val="24"/>
          <w:szCs w:val="24"/>
          <w:u w:val="single"/>
        </w:rPr>
        <w:t xml:space="preserve">To qualify as a high-impact writing-intensive course, </w:t>
      </w:r>
      <w:r w:rsidRPr="00434DB0">
        <w:rPr>
          <w:rFonts w:ascii="Calibri" w:eastAsiaTheme="minorHAnsi" w:hAnsi="Calibri" w:cs="Calibri"/>
          <w:b/>
          <w:bCs/>
          <w:sz w:val="24"/>
          <w:szCs w:val="24"/>
          <w:u w:val="single"/>
        </w:rPr>
        <w:t>the following required 5 key elements must be present.</w:t>
      </w:r>
    </w:p>
    <w:tbl>
      <w:tblPr>
        <w:tblW w:w="129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01" w:type="dxa"/>
          <w:bottom w:w="72" w:type="dxa"/>
          <w:right w:w="101" w:type="dxa"/>
        </w:tblCellMar>
        <w:tblLook w:val="06A0" w:firstRow="1" w:lastRow="0" w:firstColumn="1" w:lastColumn="0" w:noHBand="1" w:noVBand="1"/>
      </w:tblPr>
      <w:tblGrid>
        <w:gridCol w:w="2430"/>
        <w:gridCol w:w="1260"/>
        <w:gridCol w:w="4230"/>
        <w:gridCol w:w="5077"/>
      </w:tblGrid>
      <w:tr w:rsidR="00B7791B" w:rsidRPr="00C15D66" w14:paraId="3F54AD65" w14:textId="77777777" w:rsidTr="000E4003">
        <w:trPr>
          <w:trHeight w:val="220"/>
          <w:tblHeader/>
        </w:trPr>
        <w:tc>
          <w:tcPr>
            <w:tcW w:w="2430" w:type="dxa"/>
          </w:tcPr>
          <w:p w14:paraId="5D6B9519" w14:textId="7A1BF07D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Key Elements </w:t>
            </w:r>
          </w:p>
        </w:tc>
        <w:tc>
          <w:tcPr>
            <w:tcW w:w="1260" w:type="dxa"/>
          </w:tcPr>
          <w:p w14:paraId="0343CF0E" w14:textId="11D602CC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Required? </w:t>
            </w:r>
          </w:p>
        </w:tc>
        <w:tc>
          <w:tcPr>
            <w:tcW w:w="4230" w:type="dxa"/>
          </w:tcPr>
          <w:p w14:paraId="5B6AFFEF" w14:textId="5D33E865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Expected Features </w:t>
            </w:r>
          </w:p>
        </w:tc>
        <w:tc>
          <w:tcPr>
            <w:tcW w:w="5077" w:type="dxa"/>
          </w:tcPr>
          <w:p w14:paraId="32E96857" w14:textId="377A1C03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>Illustrative Examples</w:t>
            </w:r>
          </w:p>
        </w:tc>
      </w:tr>
      <w:tr w:rsidR="00B7791B" w:rsidRPr="00C15D66" w14:paraId="10B9EA66" w14:textId="77777777" w:rsidTr="000E4003">
        <w:trPr>
          <w:trHeight w:val="557"/>
        </w:trPr>
        <w:tc>
          <w:tcPr>
            <w:tcW w:w="2430" w:type="dxa"/>
          </w:tcPr>
          <w:p w14:paraId="2E8CC2BA" w14:textId="560F55AC" w:rsidR="00B7791B" w:rsidRPr="000E4003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E4003">
              <w:rPr>
                <w:rFonts w:ascii="Calibri" w:eastAsiaTheme="minorHAnsi" w:hAnsi="Calibri" w:cs="Calibri"/>
                <w:b/>
                <w:bCs/>
              </w:rPr>
              <w:t>Performance expectations set at</w:t>
            </w:r>
            <w:r w:rsidRPr="000E4003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4003">
              <w:rPr>
                <w:rFonts w:ascii="Calibri" w:eastAsiaTheme="minorHAnsi" w:hAnsi="Calibri" w:cs="Calibri"/>
                <w:b/>
                <w:bCs/>
              </w:rPr>
              <w:t>appropriately high levels</w:t>
            </w:r>
          </w:p>
        </w:tc>
        <w:tc>
          <w:tcPr>
            <w:tcW w:w="1260" w:type="dxa"/>
          </w:tcPr>
          <w:p w14:paraId="69171489" w14:textId="77777777" w:rsidR="00B7791B" w:rsidRPr="00434DB0" w:rsidRDefault="00000000" w:rsidP="00C15D66">
            <w:pPr>
              <w:rPr>
                <w:rFonts w:ascii="Calibri" w:hAnsi="Calibri" w:cs="Calibri"/>
              </w:rPr>
            </w:pPr>
            <w:r w:rsidRPr="00434DB0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4230" w:type="dxa"/>
          </w:tcPr>
          <w:p w14:paraId="3DA992E2" w14:textId="24832ECB" w:rsidR="00434DB0" w:rsidRPr="00434DB0" w:rsidRDefault="00434DB0" w:rsidP="00434DB0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t>WI courses will have a variety of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assignments with clearly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defined objectives. The syllabus should include a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statement of the overall goals for writing, and students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receive a description of expectations for individual writing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assignments. Should include some directed writing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instruction to support writing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outcomes.</w:t>
            </w:r>
          </w:p>
          <w:p w14:paraId="357BCA19" w14:textId="69DC9AD7" w:rsidR="00B7791B" w:rsidRPr="00434DB0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t>Students demonstrate integration of critical thinking into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the proper disciplinary contexts and genres for specific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audiences appropriate to level of course (as opposed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focus on “accuracy” and pointing out surface errors).</w:t>
            </w:r>
          </w:p>
        </w:tc>
        <w:tc>
          <w:tcPr>
            <w:tcW w:w="5077" w:type="dxa"/>
            <w:tcMar>
              <w:top w:w="72" w:type="dxa"/>
              <w:left w:w="101" w:type="dxa"/>
              <w:bottom w:w="72" w:type="dxa"/>
              <w:right w:w="101" w:type="dxa"/>
            </w:tcMar>
          </w:tcPr>
          <w:p w14:paraId="0085311E" w14:textId="6C8D3C9B" w:rsidR="00B7791B" w:rsidRPr="00434DB0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t>Directed writing instruction in support of assignment on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substantive writing issues. This could refer to content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development, providing evidence for an argument, and issues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of organization, substantial guidance on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disciplinary style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guides and documentation could be one component of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meeting this criterion (although not likely to be the only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component).</w:t>
            </w:r>
          </w:p>
        </w:tc>
      </w:tr>
      <w:tr w:rsidR="00B7791B" w:rsidRPr="00C15D66" w14:paraId="261C82CD" w14:textId="77777777" w:rsidTr="000E4003">
        <w:trPr>
          <w:trHeight w:val="1977"/>
        </w:trPr>
        <w:tc>
          <w:tcPr>
            <w:tcW w:w="2430" w:type="dxa"/>
          </w:tcPr>
          <w:p w14:paraId="16666193" w14:textId="2AB3A191" w:rsidR="00B7791B" w:rsidRPr="000E4003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E4003">
              <w:rPr>
                <w:rFonts w:ascii="Calibri" w:eastAsiaTheme="minorHAnsi" w:hAnsi="Calibri" w:cs="Calibri"/>
                <w:b/>
                <w:bCs/>
              </w:rPr>
              <w:lastRenderedPageBreak/>
              <w:t>Significant investment of time</w:t>
            </w:r>
            <w:r w:rsidRPr="000E4003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4003">
              <w:rPr>
                <w:rFonts w:ascii="Calibri" w:eastAsiaTheme="minorHAnsi" w:hAnsi="Calibri" w:cs="Calibri"/>
                <w:b/>
                <w:bCs/>
              </w:rPr>
              <w:t>and effort by</w:t>
            </w:r>
            <w:r w:rsidR="000E4003" w:rsidRPr="000E4003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4003">
              <w:rPr>
                <w:rFonts w:ascii="Calibri" w:eastAsiaTheme="minorHAnsi" w:hAnsi="Calibri" w:cs="Calibri"/>
                <w:b/>
                <w:bCs/>
              </w:rPr>
              <w:t>students over an</w:t>
            </w:r>
            <w:r w:rsidR="000E4003" w:rsidRPr="000E4003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4003">
              <w:rPr>
                <w:rFonts w:ascii="Calibri" w:eastAsiaTheme="minorHAnsi" w:hAnsi="Calibri" w:cs="Calibri"/>
                <w:b/>
                <w:bCs/>
              </w:rPr>
              <w:t>extended period of time.</w:t>
            </w:r>
          </w:p>
        </w:tc>
        <w:tc>
          <w:tcPr>
            <w:tcW w:w="1260" w:type="dxa"/>
          </w:tcPr>
          <w:p w14:paraId="70B9F136" w14:textId="77777777" w:rsidR="00B7791B" w:rsidRPr="00434DB0" w:rsidRDefault="00000000" w:rsidP="00C15D66">
            <w:pPr>
              <w:rPr>
                <w:rFonts w:ascii="Calibri" w:hAnsi="Calibri" w:cs="Calibri"/>
              </w:rPr>
            </w:pPr>
            <w:r w:rsidRPr="00434DB0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4230" w:type="dxa"/>
          </w:tcPr>
          <w:p w14:paraId="286786ED" w14:textId="22BF4D34" w:rsidR="007E6673" w:rsidRPr="00434DB0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t>Student writing is required regularly throughout the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course and assessed on a weekly or biweekly basis.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Assignments are sequenced so that they facilitate both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improvement in student writing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mastery of course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learning goals.</w:t>
            </w:r>
          </w:p>
        </w:tc>
        <w:tc>
          <w:tcPr>
            <w:tcW w:w="5077" w:type="dxa"/>
          </w:tcPr>
          <w:p w14:paraId="002EC7E8" w14:textId="1E310BC3" w:rsidR="00434DB0" w:rsidRPr="00434DB0" w:rsidRDefault="00434DB0" w:rsidP="00434DB0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t xml:space="preserve">High stakes: A </w:t>
            </w:r>
            <w:r w:rsidR="000E4003" w:rsidRPr="00434DB0">
              <w:rPr>
                <w:rFonts w:ascii="Calibri" w:eastAsiaTheme="minorHAnsi" w:hAnsi="Calibri" w:cs="Calibri"/>
              </w:rPr>
              <w:t>full-term</w:t>
            </w:r>
            <w:r w:rsidRPr="00434DB0">
              <w:rPr>
                <w:rFonts w:ascii="Calibri" w:eastAsiaTheme="minorHAnsi" w:hAnsi="Calibri" w:cs="Calibri"/>
              </w:rPr>
              <w:t xml:space="preserve"> research paper requiring pre-writing,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a research proposal, annotated bibliography, drafts, editing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and peer review, with instructor feedback provided at regular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intervals throughout the process.</w:t>
            </w:r>
          </w:p>
          <w:p w14:paraId="2D52C2AE" w14:textId="7DB68ABD" w:rsidR="00434DB0" w:rsidRPr="00434DB0" w:rsidRDefault="00434DB0" w:rsidP="00434DB0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t>Low stakes: Weekly short responses to assigned reading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posted on a course blog or discussion board.</w:t>
            </w:r>
          </w:p>
          <w:p w14:paraId="46D2F562" w14:textId="0618DBEC" w:rsidR="00B7791B" w:rsidRPr="00434DB0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t>Five to ten minute in-class written reflection following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discussion.</w:t>
            </w:r>
          </w:p>
        </w:tc>
      </w:tr>
      <w:tr w:rsidR="00B7791B" w:rsidRPr="00C15D66" w14:paraId="038BAD67" w14:textId="77777777" w:rsidTr="000E4003">
        <w:trPr>
          <w:trHeight w:val="1098"/>
        </w:trPr>
        <w:tc>
          <w:tcPr>
            <w:tcW w:w="2430" w:type="dxa"/>
          </w:tcPr>
          <w:p w14:paraId="2ED2AFEA" w14:textId="59E2A567" w:rsidR="00B7791B" w:rsidRPr="000E4003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E4003">
              <w:rPr>
                <w:rFonts w:ascii="Calibri" w:eastAsiaTheme="minorHAnsi" w:hAnsi="Calibri" w:cs="Calibri"/>
                <w:b/>
                <w:bCs/>
              </w:rPr>
              <w:t>Interactions with faculty and</w:t>
            </w:r>
            <w:r w:rsidR="000E4003" w:rsidRPr="000E4003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4003">
              <w:rPr>
                <w:rFonts w:ascii="Calibri" w:eastAsiaTheme="minorHAnsi" w:hAnsi="Calibri" w:cs="Calibri"/>
                <w:b/>
                <w:bCs/>
              </w:rPr>
              <w:t>peers about substantive matters</w:t>
            </w:r>
          </w:p>
        </w:tc>
        <w:tc>
          <w:tcPr>
            <w:tcW w:w="1260" w:type="dxa"/>
          </w:tcPr>
          <w:p w14:paraId="63B37BBF" w14:textId="1BFE4DE9" w:rsidR="00B7791B" w:rsidRPr="00434DB0" w:rsidRDefault="007E6673" w:rsidP="00C15D66">
            <w:pPr>
              <w:rPr>
                <w:rFonts w:ascii="Calibr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4230" w:type="dxa"/>
          </w:tcPr>
          <w:p w14:paraId="779F431F" w14:textId="1DAFCB13" w:rsidR="00B7791B" w:rsidRPr="00434DB0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t>There is at least one graded writing assignment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(constituting a significant portion of the course grade)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which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undergoes a structured peer and instructor review</w:t>
            </w:r>
            <w:r w:rsidRPr="00434DB0"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process involving substantive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feedback and a meaningful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opportunity for revision. Student peer reviewers are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instructed in how to provide meaningful feedback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held accountable for their contributions as reviewers.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Writing conferences with faculty provide feedback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additional opportunity to revise.</w:t>
            </w:r>
          </w:p>
        </w:tc>
        <w:tc>
          <w:tcPr>
            <w:tcW w:w="5077" w:type="dxa"/>
          </w:tcPr>
          <w:p w14:paraId="0C82733D" w14:textId="57F649C8" w:rsidR="00B7791B" w:rsidRPr="00434DB0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t>A final paper goes through a process involving peer review in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which the reviewer’s comments are graded by the instructor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 xml:space="preserve">and revised (if necessary) before being forwarded to the </w:t>
            </w:r>
            <w:r w:rsidRPr="00434DB0">
              <w:rPr>
                <w:rFonts w:ascii="Calibri" w:eastAsiaTheme="minorHAnsi" w:hAnsi="Calibri" w:cs="Calibri"/>
              </w:rPr>
              <w:t xml:space="preserve">peer </w:t>
            </w:r>
            <w:r w:rsidRPr="00434DB0">
              <w:rPr>
                <w:rFonts w:ascii="Calibri" w:eastAsiaTheme="minorHAnsi" w:hAnsi="Calibri" w:cs="Calibri"/>
              </w:rPr>
              <w:t>author; authors are expected to revise based on peer and/or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faculty review and to write a response to the review which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describes how they responded to comments. Students meet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with the faculty member to review the draft and receive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feedback to guide revision and/or editing.</w:t>
            </w:r>
          </w:p>
        </w:tc>
      </w:tr>
      <w:tr w:rsidR="00C15D66" w:rsidRPr="00C15D66" w14:paraId="0CBABEBD" w14:textId="77777777" w:rsidTr="000E4003">
        <w:trPr>
          <w:trHeight w:val="467"/>
        </w:trPr>
        <w:tc>
          <w:tcPr>
            <w:tcW w:w="2430" w:type="dxa"/>
          </w:tcPr>
          <w:p w14:paraId="7CB5147C" w14:textId="4AA371FB" w:rsidR="00C15D66" w:rsidRPr="000E4003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E4003">
              <w:rPr>
                <w:rFonts w:ascii="Calibri" w:eastAsiaTheme="minorHAnsi" w:hAnsi="Calibri" w:cs="Calibri"/>
                <w:b/>
                <w:bCs/>
              </w:rPr>
              <w:t>Frequent, timely, and</w:t>
            </w:r>
            <w:r w:rsidR="000E4003" w:rsidRPr="000E4003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4003">
              <w:rPr>
                <w:rFonts w:ascii="Calibri" w:eastAsiaTheme="minorHAnsi" w:hAnsi="Calibri" w:cs="Calibri"/>
                <w:b/>
                <w:bCs/>
              </w:rPr>
              <w:t>constructive feedback</w:t>
            </w:r>
          </w:p>
        </w:tc>
        <w:tc>
          <w:tcPr>
            <w:tcW w:w="1260" w:type="dxa"/>
          </w:tcPr>
          <w:p w14:paraId="49DFE0F7" w14:textId="74FDC681" w:rsidR="00C15D66" w:rsidRPr="00434DB0" w:rsidRDefault="00434DB0" w:rsidP="00C15D66">
            <w:pPr>
              <w:rPr>
                <w:rFonts w:ascii="Calibri" w:eastAsiaTheme="minorHAns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4230" w:type="dxa"/>
          </w:tcPr>
          <w:p w14:paraId="2CC6509A" w14:textId="5E48DF47" w:rsidR="00C15D66" w:rsidRPr="00434DB0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t>Timely feedback between stages or drafts; either the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same written work receives multiple reviews (followed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each time by revision) or multiple works are each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reviewed at least once. All graded written work is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provided feedback with an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expectation of and sufficient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 xml:space="preserve">time for the </w:t>
            </w:r>
            <w:r w:rsidRPr="00434DB0">
              <w:rPr>
                <w:rFonts w:ascii="Calibri" w:eastAsiaTheme="minorHAnsi" w:hAnsi="Calibri" w:cs="Calibri"/>
              </w:rPr>
              <w:lastRenderedPageBreak/>
              <w:t>feedback to be incorporated into a new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graded draft.</w:t>
            </w:r>
          </w:p>
        </w:tc>
        <w:tc>
          <w:tcPr>
            <w:tcW w:w="5077" w:type="dxa"/>
          </w:tcPr>
          <w:p w14:paraId="3FF2F6FA" w14:textId="77777777" w:rsidR="000B0BD3" w:rsidRDefault="00434DB0" w:rsidP="000B0BD3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lastRenderedPageBreak/>
              <w:t>Written homework problems or essays are submitted, in draft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form, and receive comments highlighting “big picture” errors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or missteps and students are expected to revise.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</w:p>
          <w:p w14:paraId="4F0EFADD" w14:textId="4D0B2764" w:rsidR="00C15D66" w:rsidRPr="00434DB0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434DB0">
              <w:rPr>
                <w:rFonts w:ascii="Calibri" w:eastAsiaTheme="minorHAnsi" w:hAnsi="Calibri" w:cs="Calibri"/>
              </w:rPr>
              <w:t>Feedback on a lab report is given along with the final grade so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that the student uses the feedback to improve the next lab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434DB0">
              <w:rPr>
                <w:rFonts w:ascii="Calibri" w:eastAsiaTheme="minorHAnsi" w:hAnsi="Calibri" w:cs="Calibri"/>
              </w:rPr>
              <w:t>report in the sequence.</w:t>
            </w:r>
          </w:p>
        </w:tc>
      </w:tr>
      <w:tr w:rsidR="00C15D66" w:rsidRPr="00C15D66" w14:paraId="65495E31" w14:textId="77777777" w:rsidTr="000E4003">
        <w:trPr>
          <w:trHeight w:val="1098"/>
        </w:trPr>
        <w:tc>
          <w:tcPr>
            <w:tcW w:w="2430" w:type="dxa"/>
          </w:tcPr>
          <w:p w14:paraId="460744BE" w14:textId="41A84A70" w:rsidR="00C15D66" w:rsidRPr="000E4003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E4003">
              <w:rPr>
                <w:rFonts w:ascii="Calibri" w:eastAsiaTheme="minorHAnsi" w:hAnsi="Calibri" w:cs="Calibri"/>
                <w:b/>
                <w:bCs/>
              </w:rPr>
              <w:t>Periodic, structured</w:t>
            </w:r>
            <w:r w:rsidR="000E4003" w:rsidRPr="000E4003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4003">
              <w:rPr>
                <w:rFonts w:ascii="Calibri" w:eastAsiaTheme="minorHAnsi" w:hAnsi="Calibri" w:cs="Calibri"/>
                <w:b/>
                <w:bCs/>
              </w:rPr>
              <w:t>opportunities to reflect and</w:t>
            </w:r>
            <w:r w:rsidR="000E4003" w:rsidRPr="000E4003">
              <w:rPr>
                <w:rFonts w:ascii="Calibri" w:eastAsiaTheme="minorHAnsi" w:hAnsi="Calibri" w:cs="Calibri"/>
                <w:b/>
                <w:bCs/>
              </w:rPr>
              <w:t xml:space="preserve"> </w:t>
            </w:r>
            <w:r w:rsidRPr="000E4003">
              <w:rPr>
                <w:rFonts w:ascii="Calibri" w:eastAsiaTheme="minorHAnsi" w:hAnsi="Calibri" w:cs="Calibri"/>
                <w:b/>
                <w:bCs/>
              </w:rPr>
              <w:t>integrate learning</w:t>
            </w:r>
          </w:p>
        </w:tc>
        <w:tc>
          <w:tcPr>
            <w:tcW w:w="1260" w:type="dxa"/>
          </w:tcPr>
          <w:p w14:paraId="1FE4FE19" w14:textId="761C1148" w:rsidR="00C15D66" w:rsidRPr="000E4003" w:rsidRDefault="00434DB0" w:rsidP="00C15D66">
            <w:pPr>
              <w:rPr>
                <w:rFonts w:ascii="Calibri" w:eastAsiaTheme="minorHAnsi" w:hAnsi="Calibri" w:cs="Calibri"/>
              </w:rPr>
            </w:pPr>
            <w:r w:rsidRPr="000E4003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4230" w:type="dxa"/>
          </w:tcPr>
          <w:p w14:paraId="2EF4CD17" w14:textId="48752C2E" w:rsidR="00C15D66" w:rsidRPr="000E4003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0E4003">
              <w:rPr>
                <w:rFonts w:ascii="Calibri" w:eastAsiaTheme="minorHAnsi" w:hAnsi="Calibri" w:cs="Calibri"/>
              </w:rPr>
              <w:t>A writing-intensive course has multiple writing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assignments distributed throughout the semester. In the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creation or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development of the set of assignments, some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attention should be given to the “trajectory” of a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student’s writing and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students should reflect on this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process and their learning through structured reflective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assignments and self-assessment.</w:t>
            </w:r>
          </w:p>
        </w:tc>
        <w:tc>
          <w:tcPr>
            <w:tcW w:w="5077" w:type="dxa"/>
          </w:tcPr>
          <w:p w14:paraId="6E36A429" w14:textId="77777777" w:rsidR="000E4003" w:rsidRDefault="00434DB0" w:rsidP="000E4003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</w:rPr>
            </w:pPr>
            <w:r w:rsidRPr="000E4003">
              <w:rPr>
                <w:rFonts w:ascii="Calibri" w:eastAsiaTheme="minorHAnsi" w:hAnsi="Calibri" w:cs="Calibri"/>
              </w:rPr>
              <w:t>A portfolio of written assignments with a reflective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component that encourages students’ metacognition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regarding their skill level as connected to the expectations for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written communication.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</w:p>
          <w:p w14:paraId="006CB431" w14:textId="69AEB3DA" w:rsidR="00C15D66" w:rsidRPr="000E4003" w:rsidRDefault="00434DB0" w:rsidP="00434DB0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0E4003">
              <w:rPr>
                <w:rFonts w:ascii="Calibri" w:eastAsiaTheme="minorHAnsi" w:hAnsi="Calibri" w:cs="Calibri"/>
              </w:rPr>
              <w:t>Sequencing in terms of topic of inquiry might assign a first or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second paper of the term that explores a concept or idea, as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the student grapples with his or her understanding of new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sources/ideas. Subsequent papers might apply that concept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to new examples, or expand the students understanding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through additional research, or narrow to a particular issue or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implication. Final papers might then give the students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opportunities to be more independent in creating an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application or project that is meaningful to the student while</w:t>
            </w:r>
            <w:r w:rsidR="000E4003">
              <w:rPr>
                <w:rFonts w:ascii="Calibri" w:eastAsiaTheme="minorHAnsi" w:hAnsi="Calibri" w:cs="Calibri"/>
              </w:rPr>
              <w:t xml:space="preserve"> </w:t>
            </w:r>
            <w:r w:rsidRPr="000E4003">
              <w:rPr>
                <w:rFonts w:ascii="Calibri" w:eastAsiaTheme="minorHAnsi" w:hAnsi="Calibri" w:cs="Calibri"/>
              </w:rPr>
              <w:t>still working within a new intellectual framework.</w:t>
            </w:r>
          </w:p>
        </w:tc>
      </w:tr>
    </w:tbl>
    <w:p w14:paraId="2A03ABF7" w14:textId="77777777" w:rsidR="00D308A4" w:rsidRDefault="00D308A4" w:rsidP="00D308A4">
      <w:pPr>
        <w:spacing w:line="197" w:lineRule="exact"/>
        <w:rPr>
          <w:rFonts w:ascii="Calibri" w:hAnsi="Calibri" w:cs="Calibri"/>
          <w:w w:val="90"/>
          <w:sz w:val="20"/>
          <w:szCs w:val="20"/>
        </w:rPr>
      </w:pPr>
    </w:p>
    <w:p w14:paraId="2A6FF290" w14:textId="2E5A0947" w:rsidR="00434DB0" w:rsidRPr="00434DB0" w:rsidRDefault="00434DB0" w:rsidP="00434DB0">
      <w:pPr>
        <w:widowControl/>
        <w:adjustRightInd w:val="0"/>
        <w:spacing w:after="240"/>
        <w:rPr>
          <w:rFonts w:ascii="Calibri" w:eastAsiaTheme="minorHAnsi" w:hAnsi="Calibri" w:cs="Calibri"/>
          <w:sz w:val="24"/>
          <w:szCs w:val="24"/>
        </w:rPr>
      </w:pPr>
      <w:r w:rsidRPr="00434DB0">
        <w:rPr>
          <w:rFonts w:ascii="Calibri" w:eastAsiaTheme="minorHAnsi" w:hAnsi="Calibri" w:cs="Calibri"/>
          <w:sz w:val="24"/>
          <w:szCs w:val="24"/>
        </w:rPr>
        <w:t>Three additional HIPs elements (“Opportunities to demonstrate intercultural knowledge &amp; skills…,” “Opportunities to discover relevance of learning through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34DB0">
        <w:rPr>
          <w:rFonts w:ascii="Calibri" w:eastAsiaTheme="minorHAnsi" w:hAnsi="Calibri" w:cs="Calibri"/>
          <w:sz w:val="24"/>
          <w:szCs w:val="24"/>
        </w:rPr>
        <w:t>real-world applications,” and “Public demonstration of competence”) are encouraged but not categorized as essential.</w:t>
      </w:r>
    </w:p>
    <w:p w14:paraId="06EAE0F0" w14:textId="0AB3588A" w:rsidR="00434DB0" w:rsidRPr="00434DB0" w:rsidRDefault="00434DB0" w:rsidP="00434DB0">
      <w:pPr>
        <w:widowControl/>
        <w:adjustRightInd w:val="0"/>
        <w:spacing w:after="240"/>
        <w:rPr>
          <w:rFonts w:ascii="Calibri" w:eastAsiaTheme="minorHAnsi" w:hAnsi="Calibri" w:cs="Calibri"/>
          <w:sz w:val="24"/>
          <w:szCs w:val="24"/>
        </w:rPr>
      </w:pPr>
      <w:r w:rsidRPr="00434DB0">
        <w:rPr>
          <w:rFonts w:ascii="Calibri" w:eastAsiaTheme="minorHAnsi" w:hAnsi="Calibri" w:cs="Calibri"/>
          <w:sz w:val="24"/>
          <w:szCs w:val="24"/>
        </w:rPr>
        <w:t>*Additional recommendations: WI classes should not exceed a 20:1 student to instructor ratio. Because of the workload, faculty teaching WI classes need to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34DB0">
        <w:rPr>
          <w:rFonts w:ascii="Calibri" w:eastAsiaTheme="minorHAnsi" w:hAnsi="Calibri" w:cs="Calibri"/>
          <w:sz w:val="24"/>
          <w:szCs w:val="24"/>
        </w:rPr>
        <w:t>be, minimally, taught as 3CR full term course, with teaching loads factored accordingly. Faculty need to maintain ownership/control over the shape of the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34DB0">
        <w:rPr>
          <w:rFonts w:ascii="Calibri" w:eastAsiaTheme="minorHAnsi" w:hAnsi="Calibri" w:cs="Calibri"/>
          <w:sz w:val="24"/>
          <w:szCs w:val="24"/>
        </w:rPr>
        <w:t>course. At least 60% of student grades determined through evaluation of written work, and with at least 40% of student grades depending upon "high stakes"</w:t>
      </w:r>
      <w:r>
        <w:rPr>
          <w:rFonts w:ascii="Calibri" w:eastAsiaTheme="minorHAnsi" w:hAnsi="Calibri" w:cs="Calibri"/>
          <w:sz w:val="24"/>
          <w:szCs w:val="24"/>
        </w:rPr>
        <w:t xml:space="preserve"> </w:t>
      </w:r>
      <w:r w:rsidRPr="00434DB0">
        <w:rPr>
          <w:rFonts w:ascii="Calibri" w:eastAsiaTheme="minorHAnsi" w:hAnsi="Calibri" w:cs="Calibri"/>
          <w:sz w:val="24"/>
          <w:szCs w:val="24"/>
        </w:rPr>
        <w:t>writing assignments, at least one of which must require drafts and revision.</w:t>
      </w:r>
    </w:p>
    <w:p w14:paraId="100E2F6B" w14:textId="7BC40245" w:rsidR="00B7791B" w:rsidRPr="00434DB0" w:rsidRDefault="00434DB0" w:rsidP="00434DB0">
      <w:pPr>
        <w:spacing w:line="197" w:lineRule="exact"/>
        <w:rPr>
          <w:rFonts w:ascii="Calibri" w:eastAsiaTheme="minorHAnsi" w:hAnsi="Calibri" w:cs="Calibri"/>
          <w:b/>
          <w:bCs/>
          <w:sz w:val="20"/>
          <w:szCs w:val="20"/>
        </w:rPr>
      </w:pPr>
      <w:r w:rsidRPr="00434DB0">
        <w:rPr>
          <w:rFonts w:ascii="Calibri" w:eastAsiaTheme="minorHAnsi" w:hAnsi="Calibri" w:cs="Calibri"/>
          <w:sz w:val="20"/>
          <w:szCs w:val="20"/>
        </w:rPr>
        <w:t>Developed by: Anna Kinney, Ryan Zerr, Lori Robison, Hans Broedel and Jessica Zerr.</w:t>
      </w:r>
    </w:p>
    <w:sectPr w:rsidR="00B7791B" w:rsidRPr="00434DB0" w:rsidSect="00D308A4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B"/>
    <w:rsid w:val="000540D1"/>
    <w:rsid w:val="000B0BD3"/>
    <w:rsid w:val="000E4003"/>
    <w:rsid w:val="00173C1C"/>
    <w:rsid w:val="00280D01"/>
    <w:rsid w:val="003A1D0A"/>
    <w:rsid w:val="00434DB0"/>
    <w:rsid w:val="00575F23"/>
    <w:rsid w:val="0076375D"/>
    <w:rsid w:val="00774A8A"/>
    <w:rsid w:val="007E6673"/>
    <w:rsid w:val="00897B4A"/>
    <w:rsid w:val="009A3384"/>
    <w:rsid w:val="00AB392E"/>
    <w:rsid w:val="00B7791B"/>
    <w:rsid w:val="00C15D66"/>
    <w:rsid w:val="00C877BE"/>
    <w:rsid w:val="00D308A4"/>
    <w:rsid w:val="00E15CE6"/>
    <w:rsid w:val="00F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78C5C"/>
  <w15:docId w15:val="{9B87DA88-BE54-314C-A5E8-5422994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23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8A4"/>
    <w:pPr>
      <w:keepNext/>
      <w:keepLines/>
      <w:spacing w:before="240"/>
      <w:outlineLvl w:val="0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8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0"/>
    </w:pPr>
  </w:style>
  <w:style w:type="character" w:customStyle="1" w:styleId="Heading1Char">
    <w:name w:val="Heading 1 Char"/>
    <w:basedOn w:val="DefaultParagraphFont"/>
    <w:link w:val="Heading1"/>
    <w:uiPriority w:val="9"/>
    <w:rsid w:val="00D308A4"/>
    <w:rPr>
      <w:rFonts w:ascii="Calibri" w:eastAsiaTheme="majorEastAsia" w:hAnsi="Calibr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Dettweiler, Martha</cp:lastModifiedBy>
  <cp:revision>5</cp:revision>
  <dcterms:created xsi:type="dcterms:W3CDTF">2025-03-18T14:11:00Z</dcterms:created>
  <dcterms:modified xsi:type="dcterms:W3CDTF">2025-03-18T14:21:00Z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Acrobat Pro 15.6.30418</vt:lpwstr>
  </property>
</Properties>
</file>